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820B5" w14:textId="77777777" w:rsidR="004A47D4" w:rsidRPr="00996185" w:rsidRDefault="00EB2A2E" w:rsidP="001F05BE">
      <w:pPr>
        <w:pStyle w:val="Authors"/>
        <w:rPr>
          <w:b/>
          <w:bCs/>
          <w:sz w:val="32"/>
          <w:szCs w:val="32"/>
        </w:rPr>
      </w:pPr>
      <w:r w:rsidRPr="00996185">
        <w:rPr>
          <w:b/>
          <w:bCs/>
          <w:sz w:val="32"/>
          <w:szCs w:val="32"/>
        </w:rPr>
        <w:t>Data-Driven Analysis of High-Throughput Experiments on Liquid Battery Electrolyte Formulations: Unraveling the Impact of Composition on Conductivity</w:t>
      </w:r>
    </w:p>
    <w:p w14:paraId="40DB98C5" w14:textId="77777777" w:rsidR="004A47D4" w:rsidRPr="00996185" w:rsidRDefault="00EB2A2E" w:rsidP="001F05BE">
      <w:pPr>
        <w:pStyle w:val="Dedication"/>
        <w:rPr>
          <w:color w:val="FF0000"/>
          <w:lang w:val="en-US"/>
        </w:rPr>
      </w:pPr>
      <w:r w:rsidRPr="00996185">
        <w:rPr>
          <w:sz w:val="22"/>
          <w:szCs w:val="22"/>
          <w:lang w:val="en-US"/>
        </w:rPr>
        <w:t>Anand Narayanan Krishnamoorthy</w:t>
      </w:r>
      <w:r w:rsidRPr="00996185">
        <w:rPr>
          <w:sz w:val="22"/>
          <w:szCs w:val="22"/>
          <w:vertAlign w:val="superscript"/>
          <w:lang w:val="en-US"/>
        </w:rPr>
        <w:t>[a]</w:t>
      </w:r>
      <w:r w:rsidRPr="00996185">
        <w:rPr>
          <w:sz w:val="22"/>
          <w:szCs w:val="22"/>
          <w:lang w:val="en-US"/>
        </w:rPr>
        <w:t>, Christian Wölke</w:t>
      </w:r>
      <w:r w:rsidRPr="00996185">
        <w:rPr>
          <w:sz w:val="22"/>
          <w:szCs w:val="22"/>
          <w:vertAlign w:val="superscript"/>
          <w:lang w:val="en-US"/>
        </w:rPr>
        <w:t>[a]</w:t>
      </w:r>
      <w:r w:rsidRPr="00996185">
        <w:rPr>
          <w:sz w:val="22"/>
          <w:szCs w:val="22"/>
          <w:lang w:val="en-US"/>
        </w:rPr>
        <w:t>, Diddo Diddens</w:t>
      </w:r>
      <w:r w:rsidRPr="00996185">
        <w:rPr>
          <w:sz w:val="22"/>
          <w:szCs w:val="22"/>
          <w:vertAlign w:val="superscript"/>
          <w:lang w:val="en-US"/>
        </w:rPr>
        <w:t>[a]</w:t>
      </w:r>
      <w:r w:rsidRPr="00996185">
        <w:rPr>
          <w:sz w:val="22"/>
          <w:szCs w:val="22"/>
          <w:lang w:val="en-US"/>
        </w:rPr>
        <w:t>, Moumita Maiti</w:t>
      </w:r>
      <w:r w:rsidRPr="00996185">
        <w:rPr>
          <w:sz w:val="22"/>
          <w:szCs w:val="22"/>
          <w:vertAlign w:val="superscript"/>
          <w:lang w:val="en-US"/>
        </w:rPr>
        <w:t>[c]</w:t>
      </w:r>
      <w:r w:rsidRPr="00996185">
        <w:rPr>
          <w:sz w:val="22"/>
          <w:szCs w:val="22"/>
          <w:lang w:val="en-US"/>
        </w:rPr>
        <w:t>, Youssef Mabrouk</w:t>
      </w:r>
      <w:r w:rsidRPr="00996185">
        <w:rPr>
          <w:sz w:val="22"/>
          <w:szCs w:val="22"/>
          <w:vertAlign w:val="superscript"/>
          <w:lang w:val="en-US"/>
        </w:rPr>
        <w:t>[a]</w:t>
      </w:r>
      <w:r w:rsidRPr="00996185">
        <w:rPr>
          <w:sz w:val="22"/>
          <w:szCs w:val="22"/>
          <w:lang w:val="en-US"/>
        </w:rPr>
        <w:t>, Peng Yan</w:t>
      </w:r>
      <w:r w:rsidRPr="00996185">
        <w:rPr>
          <w:sz w:val="22"/>
          <w:szCs w:val="22"/>
          <w:vertAlign w:val="superscript"/>
          <w:lang w:val="en-US"/>
        </w:rPr>
        <w:t>[a]</w:t>
      </w:r>
      <w:r w:rsidRPr="00996185">
        <w:rPr>
          <w:sz w:val="22"/>
          <w:szCs w:val="22"/>
          <w:lang w:val="en-US"/>
        </w:rPr>
        <w:t>, Mariano Grünebaum</w:t>
      </w:r>
      <w:r w:rsidRPr="00996185">
        <w:rPr>
          <w:sz w:val="22"/>
          <w:szCs w:val="22"/>
          <w:vertAlign w:val="superscript"/>
          <w:lang w:val="en-US"/>
        </w:rPr>
        <w:t>[a]</w:t>
      </w:r>
      <w:r w:rsidRPr="00996185">
        <w:rPr>
          <w:sz w:val="22"/>
          <w:szCs w:val="22"/>
          <w:lang w:val="en-US"/>
        </w:rPr>
        <w:t>, Martin Winter</w:t>
      </w:r>
      <w:r w:rsidRPr="00996185">
        <w:rPr>
          <w:sz w:val="22"/>
          <w:szCs w:val="22"/>
          <w:vertAlign w:val="superscript"/>
          <w:lang w:val="en-US"/>
        </w:rPr>
        <w:t>[a],[b]</w:t>
      </w:r>
      <w:r w:rsidRPr="00996185">
        <w:rPr>
          <w:sz w:val="22"/>
          <w:szCs w:val="22"/>
          <w:lang w:val="en-US"/>
        </w:rPr>
        <w:t>, Andreas Heuer</w:t>
      </w:r>
      <w:r w:rsidRPr="00996185">
        <w:rPr>
          <w:sz w:val="22"/>
          <w:szCs w:val="22"/>
          <w:vertAlign w:val="superscript"/>
          <w:lang w:val="en-US"/>
        </w:rPr>
        <w:t>[a],[c]</w:t>
      </w:r>
      <w:r w:rsidRPr="00996185">
        <w:rPr>
          <w:sz w:val="22"/>
          <w:szCs w:val="22"/>
          <w:lang w:val="en-US"/>
        </w:rPr>
        <w:t>*, Isidora Cekic-Laskovic</w:t>
      </w:r>
      <w:r w:rsidRPr="00996185">
        <w:rPr>
          <w:sz w:val="22"/>
          <w:szCs w:val="22"/>
          <w:vertAlign w:val="superscript"/>
          <w:lang w:val="en-US"/>
        </w:rPr>
        <w:t>[a]</w:t>
      </w:r>
      <w:r w:rsidRPr="00996185">
        <w:rPr>
          <w:sz w:val="22"/>
          <w:szCs w:val="22"/>
          <w:lang w:val="en-US"/>
        </w:rPr>
        <w:t>*</w:t>
      </w:r>
    </w:p>
    <w:p w14:paraId="43808F50" w14:textId="77777777" w:rsidR="004A47D4" w:rsidRPr="00996185" w:rsidRDefault="00EB2A2E" w:rsidP="001F05BE">
      <w:pPr>
        <w:pStyle w:val="Adress"/>
        <w:pBdr>
          <w:top w:val="single" w:sz="4" w:space="0" w:color="000000"/>
          <w:left w:val="none" w:sz="4" w:space="0" w:color="000000"/>
          <w:bottom w:val="none" w:sz="4" w:space="0" w:color="000000"/>
          <w:right w:val="none" w:sz="4" w:space="0" w:color="000000"/>
        </w:pBdr>
        <w:rPr>
          <w:rStyle w:val="None"/>
          <w:lang w:val="en-US"/>
        </w:rPr>
      </w:pPr>
      <w:r w:rsidRPr="00996185">
        <w:rPr>
          <w:lang w:val="en-US"/>
        </w:rPr>
        <w:t>[a]</w:t>
      </w:r>
      <w:r w:rsidRPr="00996185">
        <w:rPr>
          <w:lang w:val="en-US"/>
        </w:rPr>
        <w:tab/>
        <w:t>Dr. A. N. Krishnamoorthy, Dr. C. Wölke, Dr. D. Diddens, Y. Mabrouk, P. Yan, Dr. M. Grünebaum, Prof. Dr. M. Winter, Prof. Dr. A. Heuer*, Dr. I. Cekic-Laskovic*</w:t>
      </w:r>
      <w:r w:rsidRPr="00996185">
        <w:rPr>
          <w:lang w:val="en-US"/>
        </w:rPr>
        <w:br/>
        <w:t>Helmholtz-Institute Münster (IEK-12)</w:t>
      </w:r>
      <w:r w:rsidRPr="00996185">
        <w:rPr>
          <w:lang w:val="en-US"/>
        </w:rPr>
        <w:br/>
        <w:t>Forschungszentrum Jülich GmbH</w:t>
      </w:r>
      <w:r w:rsidRPr="00996185">
        <w:rPr>
          <w:lang w:val="en-US"/>
        </w:rPr>
        <w:br/>
        <w:t>Corrensstraße 46, 48149 Münster, Germany</w:t>
      </w:r>
      <w:r w:rsidRPr="00996185">
        <w:rPr>
          <w:lang w:val="en-US"/>
        </w:rPr>
        <w:br/>
        <w:t xml:space="preserve">E-mail: </w:t>
      </w:r>
      <w:r w:rsidR="00CB15C2" w:rsidRPr="00996185">
        <w:fldChar w:fldCharType="begin"/>
      </w:r>
      <w:r w:rsidR="00CB15C2" w:rsidRPr="00996185">
        <w:rPr>
          <w:lang w:val="en-US"/>
        </w:rPr>
        <w:instrText xml:space="preserve"> HYPERLINK "mailto:andheuer@uni-muenster.de" </w:instrText>
      </w:r>
      <w:r w:rsidR="00CB15C2" w:rsidRPr="00996185">
        <w:fldChar w:fldCharType="separate"/>
      </w:r>
      <w:r w:rsidRPr="00996185">
        <w:rPr>
          <w:rStyle w:val="Hyperlink0"/>
        </w:rPr>
        <w:t>andheuer@uni-muenster.de</w:t>
      </w:r>
      <w:r w:rsidR="00CB15C2" w:rsidRPr="00996185">
        <w:rPr>
          <w:rStyle w:val="Hyperlink0"/>
        </w:rPr>
        <w:fldChar w:fldCharType="end"/>
      </w:r>
      <w:r w:rsidRPr="00996185">
        <w:rPr>
          <w:rStyle w:val="None"/>
          <w:lang w:val="en-US"/>
          <w14:textOutline w14:w="12700" w14:cap="flat" w14:cmpd="sng" w14:algn="ctr">
            <w14:noFill/>
            <w14:prstDash w14:val="solid"/>
            <w14:miter w14:lim="400000"/>
          </w14:textOutline>
        </w:rPr>
        <w:t xml:space="preserve">, </w:t>
      </w:r>
      <w:r w:rsidR="00CB15C2" w:rsidRPr="00996185">
        <w:fldChar w:fldCharType="begin"/>
      </w:r>
      <w:r w:rsidR="00CB15C2" w:rsidRPr="00996185">
        <w:rPr>
          <w:lang w:val="en-US"/>
        </w:rPr>
        <w:instrText xml:space="preserve"> HYPERLINK "mailto:i.cekic-laskovic@fz-juelich.de" </w:instrText>
      </w:r>
      <w:r w:rsidR="00CB15C2" w:rsidRPr="00996185">
        <w:fldChar w:fldCharType="separate"/>
      </w:r>
      <w:r w:rsidRPr="00996185">
        <w:rPr>
          <w:rStyle w:val="Hyperlink0"/>
        </w:rPr>
        <w:t>i.cekic-laskovic@fz-juelich.de</w:t>
      </w:r>
      <w:r w:rsidR="00CB15C2" w:rsidRPr="00996185">
        <w:rPr>
          <w:rStyle w:val="Hyperlink0"/>
        </w:rPr>
        <w:fldChar w:fldCharType="end"/>
      </w:r>
    </w:p>
    <w:p w14:paraId="3606D06C" w14:textId="77777777" w:rsidR="004A47D4" w:rsidRPr="00996185" w:rsidRDefault="00EB2A2E" w:rsidP="001F05BE">
      <w:pPr>
        <w:pStyle w:val="Adress"/>
        <w:rPr>
          <w:rStyle w:val="None"/>
          <w:lang w:val="en-US"/>
        </w:rPr>
      </w:pPr>
      <w:r w:rsidRPr="00996185">
        <w:rPr>
          <w:rStyle w:val="None"/>
          <w:lang w:val="en-US"/>
        </w:rPr>
        <w:t>[b]</w:t>
      </w:r>
      <w:r w:rsidRPr="00996185">
        <w:rPr>
          <w:rStyle w:val="None"/>
          <w:lang w:val="en-US"/>
        </w:rPr>
        <w:tab/>
        <w:t>Prof. Dr. M. Winter</w:t>
      </w:r>
      <w:r w:rsidRPr="00996185">
        <w:rPr>
          <w:rStyle w:val="None"/>
          <w:lang w:val="en-US"/>
        </w:rPr>
        <w:br/>
        <w:t>MEET Battery Research Center</w:t>
      </w:r>
      <w:r w:rsidRPr="00996185">
        <w:rPr>
          <w:rStyle w:val="None"/>
          <w:lang w:val="en-US"/>
        </w:rPr>
        <w:br/>
        <w:t>University of Münster</w:t>
      </w:r>
      <w:r w:rsidRPr="00996185">
        <w:rPr>
          <w:rStyle w:val="None"/>
          <w:lang w:val="en-US"/>
        </w:rPr>
        <w:br/>
        <w:t>Corrensstrasse 46, 48149 Münster, Germany</w:t>
      </w:r>
    </w:p>
    <w:p w14:paraId="3E768957" w14:textId="5E2233D6" w:rsidR="004A47D4" w:rsidRPr="00996185" w:rsidRDefault="00EB2A2E" w:rsidP="001F05BE">
      <w:pPr>
        <w:pStyle w:val="Adress"/>
        <w:rPr>
          <w:rStyle w:val="None"/>
          <w:lang w:val="en-US"/>
        </w:rPr>
      </w:pPr>
      <w:r w:rsidRPr="00996185">
        <w:rPr>
          <w:rStyle w:val="None"/>
          <w:lang w:val="en-US"/>
        </w:rPr>
        <w:t>[c]</w:t>
      </w:r>
      <w:r w:rsidRPr="00996185">
        <w:rPr>
          <w:rStyle w:val="None"/>
          <w:lang w:val="en-US"/>
        </w:rPr>
        <w:tab/>
      </w:r>
      <w:r w:rsidR="0046545E" w:rsidRPr="00996185">
        <w:rPr>
          <w:rStyle w:val="None"/>
          <w:lang w:val="en-US"/>
        </w:rPr>
        <w:t xml:space="preserve">Dr. M. Maiti, </w:t>
      </w:r>
      <w:r w:rsidRPr="00996185">
        <w:rPr>
          <w:rStyle w:val="None"/>
          <w:lang w:val="en-US"/>
        </w:rPr>
        <w:t>Prof. Dr. A. Heuer*</w:t>
      </w:r>
      <w:r w:rsidRPr="00996185">
        <w:rPr>
          <w:rStyle w:val="None"/>
          <w:lang w:val="en-US"/>
        </w:rPr>
        <w:br/>
        <w:t>Institute of Physical Chemistry</w:t>
      </w:r>
      <w:r w:rsidRPr="00996185">
        <w:rPr>
          <w:rStyle w:val="None"/>
          <w:lang w:val="en-US"/>
        </w:rPr>
        <w:br/>
        <w:t>University of Münster</w:t>
      </w:r>
      <w:r w:rsidRPr="00996185">
        <w:rPr>
          <w:rStyle w:val="None"/>
          <w:lang w:val="en-US"/>
        </w:rPr>
        <w:br/>
        <w:t>Corrensstrasse 28/30, 48149 Münster, Germany</w:t>
      </w:r>
    </w:p>
    <w:p w14:paraId="647F9ABB" w14:textId="77777777" w:rsidR="004A47D4" w:rsidRPr="00996185" w:rsidRDefault="004A47D4" w:rsidP="001F05BE">
      <w:pPr>
        <w:pStyle w:val="Adress"/>
        <w:rPr>
          <w:rStyle w:val="None"/>
          <w:lang w:val="en-US"/>
        </w:rPr>
      </w:pPr>
    </w:p>
    <w:p w14:paraId="0E5FE6C2" w14:textId="77777777" w:rsidR="004A47D4" w:rsidRPr="00996185" w:rsidRDefault="00EB2A2E" w:rsidP="001F05BE">
      <w:pPr>
        <w:pStyle w:val="Footnote"/>
        <w:spacing w:after="360"/>
        <w:rPr>
          <w:rStyle w:val="None"/>
          <w:color w:val="FF0000"/>
        </w:rPr>
      </w:pPr>
      <w:r w:rsidRPr="00996185">
        <w:rPr>
          <w:rStyle w:val="None"/>
        </w:rPr>
        <w:tab/>
        <w:t>Supporting information for this article is given via a link at the end of the document.</w:t>
      </w:r>
    </w:p>
    <w:p w14:paraId="10244665" w14:textId="77777777" w:rsidR="004A47D4" w:rsidRPr="00996185" w:rsidRDefault="004A47D4" w:rsidP="001F05BE">
      <w:pPr>
        <w:rPr>
          <w:rStyle w:val="None"/>
          <w:lang w:val="en-US"/>
        </w:rPr>
      </w:pPr>
    </w:p>
    <w:p w14:paraId="359C065B" w14:textId="77777777" w:rsidR="004A47D4" w:rsidRPr="00996185" w:rsidRDefault="004A47D4" w:rsidP="001F05BE">
      <w:pPr>
        <w:pStyle w:val="Dedication"/>
        <w:rPr>
          <w:rStyle w:val="None"/>
          <w:lang w:val="en-US"/>
        </w:rPr>
        <w:sectPr w:rsidR="004A47D4" w:rsidRPr="00996185">
          <w:headerReference w:type="default" r:id="rId6"/>
          <w:footerReference w:type="default" r:id="rId7"/>
          <w:pgSz w:w="11900" w:h="16840"/>
          <w:pgMar w:top="1134" w:right="936" w:bottom="1134" w:left="936" w:header="709" w:footer="0" w:gutter="0"/>
          <w:cols w:space="1701"/>
          <w:docGrid w:linePitch="360"/>
        </w:sectPr>
      </w:pPr>
    </w:p>
    <w:p w14:paraId="3DAC964B" w14:textId="28A4829C" w:rsidR="004A47D4" w:rsidRPr="00996185" w:rsidRDefault="00EB2A2E" w:rsidP="001F05BE">
      <w:pPr>
        <w:pStyle w:val="Abstract"/>
        <w:rPr>
          <w:rStyle w:val="None"/>
        </w:rPr>
      </w:pPr>
      <w:r w:rsidRPr="00996185">
        <w:rPr>
          <w:rStyle w:val="None"/>
          <w:b/>
          <w:bCs/>
        </w:rPr>
        <w:t>Abstract:</w:t>
      </w:r>
      <w:r w:rsidRPr="00996185">
        <w:rPr>
          <w:rStyle w:val="None"/>
        </w:rPr>
        <w:t xml:space="preserve"> </w:t>
      </w:r>
      <w:r w:rsidR="007A71A3" w:rsidRPr="00996185">
        <w:rPr>
          <w:rStyle w:val="Seitenzahl"/>
        </w:rPr>
        <w:t>A specially designed high-throughput experimentation facility, used for the highly effective exploration of electrolyte formulations in composition space for diverse battery chemistries and targeted applications, is presented. It follows a high-throughput formulation-characterization-optimization chain based on a set of previously established electrolyte-related requirements. Here, the facility is used to acquire large dataset of ionic conductivities of non-aqueous battery electrolytes in the</w:t>
      </w:r>
      <w:r w:rsidR="00281CDB" w:rsidRPr="00996185">
        <w:rPr>
          <w:rStyle w:val="Seitenzahl"/>
        </w:rPr>
        <w:t xml:space="preserve"> </w:t>
      </w:r>
      <w:r w:rsidR="00281CDB" w:rsidRPr="00996185">
        <w:rPr>
          <w:rStyle w:val="None"/>
        </w:rPr>
        <w:t>conducting</w:t>
      </w:r>
      <w:r w:rsidR="007A71A3" w:rsidRPr="00996185">
        <w:rPr>
          <w:rStyle w:val="Seitenzahl"/>
        </w:rPr>
        <w:t xml:space="preserve"> salt-solvent/co-solvent-additive composition space. The measured temperature dependence is mapped on three generalized Arrhenius parameters, including deviations from simple activated dynamics. This reduced dataset is thereafter analyzed by a scalable data-driven workflow, based on linear and Gaussian process regression, providing detailed information about the compositional dependence of the conductivity. Complete insensitivity to the addition of electrolyte additives for otherwise constant molar composition is observed. Quantitative dependencies, e.g., on the temperature-dependent </w:t>
      </w:r>
      <w:r w:rsidR="00281CDB" w:rsidRPr="00996185">
        <w:rPr>
          <w:rStyle w:val="None"/>
        </w:rPr>
        <w:t xml:space="preserve">conducting </w:t>
      </w:r>
      <w:r w:rsidR="007A71A3" w:rsidRPr="00996185">
        <w:rPr>
          <w:rStyle w:val="Seitenzahl"/>
        </w:rPr>
        <w:t>salt content for optimum conductivity are provided and discussed in light of physical properties such as viscosity and ion association effects</w:t>
      </w:r>
      <w:r w:rsidRPr="00996185">
        <w:rPr>
          <w:rStyle w:val="None"/>
        </w:rPr>
        <w:t>.</w:t>
      </w:r>
    </w:p>
    <w:p w14:paraId="210E8ECB" w14:textId="77777777" w:rsidR="004A47D4" w:rsidRPr="00996185" w:rsidRDefault="00EB2A2E" w:rsidP="001F05BE">
      <w:pPr>
        <w:pStyle w:val="H1"/>
        <w:rPr>
          <w:rStyle w:val="None"/>
        </w:rPr>
      </w:pPr>
      <w:r w:rsidRPr="00996185">
        <w:rPr>
          <w:rStyle w:val="None"/>
        </w:rPr>
        <w:t>Introduction</w:t>
      </w:r>
    </w:p>
    <w:p w14:paraId="56BE2E3B" w14:textId="70E78C40" w:rsidR="004A47D4" w:rsidRPr="00996185" w:rsidRDefault="00EB2A2E" w:rsidP="001F05BE">
      <w:pPr>
        <w:pStyle w:val="P1"/>
      </w:pPr>
      <w:r w:rsidRPr="00996185">
        <w:rPr>
          <w:rStyle w:val="None"/>
        </w:rPr>
        <w:t>High-throughput (HT) strategies allow researchers to perform multiple experiments within a relatively short time in parallel to accelerate material discovery process.</w:t>
      </w:r>
      <w:r w:rsidR="00BA10FD" w:rsidRPr="00996185">
        <w:rPr>
          <w:rStyle w:val="None"/>
        </w:rPr>
        <w:fldChar w:fldCharType="begin"/>
      </w:r>
      <w:r w:rsidR="00147125" w:rsidRPr="00996185">
        <w:rPr>
          <w:rStyle w:val="None"/>
        </w:rPr>
        <w:instrText xml:space="preserve"> ADDIN ZOTERO_ITEM CSL_CITATION {"citationID":"V9pmtKFW","properties":{"formattedCitation":"\\super [1,2]\\nosupersub{}","plainCitation":"[1,2]","noteIndex":0},"citationItems":[{"id":1879,"uris":["http://zotero.org/users/8284002/items/RR6CYBWE"],"itemData":{"id":1879,"type":"article-journal","container-title":"Organic Process Research &amp; Development","DOI":"10.1021/acs.oprd.9b00140","ISSN":"1083-6160, 1520-586X","issue":"6","journalAbbreviation":"Org. Process Res. Dev.","language":"en","page":"1213-1242","source":"DOI.org (Crossref)","title":"The Evolution of High-Throughput Experimentation in Pharmaceutical Development and Perspectives on the Future","volume":"23","author":[{"family":"Mennen","given":"Steven M."},{"family":"Alhambra","given":"Carolina"},{"family":"Allen","given":"C. Liana"},{"family":"Barberis","given":"Mario"},{"family":"Berritt","given":"Simon"},{"family":"Brandt","given":"Thomas A."},{"family":"Campbell","given":"Andrew D."},{"family":"Castañón","given":"Jesús"},{"family":"Cherney","given":"Alan H."},{"family":"Christensen","given":"Melodie"},{"family":"Damon","given":"David B."},{"family":"Eugenio de Diego","given":"J."},{"family":"García-Cerrada","given":"Susana"},{"family":"García-Losada","given":"Pablo"},{"family":"Haro","given":"Rubén"},{"family":"Janey","given":"Jacob"},{"family":"Leitch","given":"David C."},{"family":"Li","given":"Ling"},{"family":"Liu","given":"Fangfang"},{"family":"Lobben","given":"Paul C."},{"family":"MacMillan","given":"David W. C."},{"family":"Magano","given":"Javier"},{"family":"McInturff","given":"Emma"},{"family":"Monfette","given":"Sebastien"},{"family":"Post","given":"Ronald J."},{"family":"Schultz","given":"Danielle"},{"family":"Sitter","given":"Barbara J."},{"family":"Stevens","given":"Jason M."},{"family":"Strambeanu","given":"Iulia I."},{"family":"Twilton","given":"Jack"},{"family":"Wang","given":"Ke"},{"family":"Zajac","given":"Matthew A."}],"issued":{"date-parts":[["2019",6,21]]}}},{"id":531,"uris":["http://zotero.org/users/8284002/items/QCJB5E8K"],"itemData":{"id":531,"type":"article-journal","container-title":"ACS Combinatorial Science","DOI":"10.1021/co200007w","ISSN":"2156-8952, 2156-8944","issue":"6","journalAbbreviation":"ACS Comb. Sci.","language":"en","page":"579-633","source":"DOI.org (Crossref)","title":"Combinatorial and High-Throughput Screening of Materials Libraries: Review of State of the Art","title-short":"Combinatorial and High-Throughput Screening of Materials Libraries","volume":"13","author":[{"family":"Potyrailo","given":"Radislav"},{"family":"Rajan","given":"Krishna"},{"family":"Stoewe","given":"Klaus"},{"family":"Takeuchi","given":"Ichiro"},{"family":"Chisholm","given":"Bret"},{"family":"Lam","given":"Hubert"}],"issued":{"date-parts":[["2011",11,14]]}}}],"schema":"https://github.com/citation-style-language/schema/raw/master/csl-citation.json"} </w:instrText>
      </w:r>
      <w:r w:rsidR="00BA10FD" w:rsidRPr="00996185">
        <w:rPr>
          <w:rStyle w:val="None"/>
        </w:rPr>
        <w:fldChar w:fldCharType="separate"/>
      </w:r>
      <w:r w:rsidR="00147125" w:rsidRPr="00996185">
        <w:rPr>
          <w:rFonts w:cs="Arial"/>
          <w:szCs w:val="24"/>
          <w:vertAlign w:val="superscript"/>
        </w:rPr>
        <w:t>[1,2]</w:t>
      </w:r>
      <w:r w:rsidR="00BA10FD" w:rsidRPr="00996185">
        <w:rPr>
          <w:rStyle w:val="None"/>
        </w:rPr>
        <w:fldChar w:fldCharType="end"/>
      </w:r>
      <w:r w:rsidRPr="00996185">
        <w:rPr>
          <w:rStyle w:val="None"/>
        </w:rPr>
        <w:t xml:space="preserve"> Such strategies are generally achieved by using rapid automation tools including a large combination of material variables.</w:t>
      </w:r>
      <w:r w:rsidR="00BA10FD" w:rsidRPr="00996185">
        <w:rPr>
          <w:rStyle w:val="None"/>
        </w:rPr>
        <w:fldChar w:fldCharType="begin"/>
      </w:r>
      <w:r w:rsidR="00147125" w:rsidRPr="00996185">
        <w:rPr>
          <w:rStyle w:val="None"/>
        </w:rPr>
        <w:instrText xml:space="preserve"> ADDIN ZOTERO_ITEM CSL_CITATION {"citationID":"OEKFf7WS","properties":{"formattedCitation":"\\super [3]\\nosupersub{}","plainCitation":"[3]","noteIndex":0},"citationItems":[{"id":1881,"uris":["http://zotero.org/users/8284002/items/MAY65RDL"],"itemData":{"id":1881,"type":"article-journal","container-title":"Nature","DOI":"10.1038/s41586-020-2442-2","ISSN":"0028-0836, 1476-4687","issue":"7815","journalAbbreviation":"Nature","language":"en","page":"237-241","source":"DOI.org (Crossref)","title":"A mobile robotic chemist","volume":"583","author":[{"family":"Burger","given":"Benjamin"},{"family":"Maffettone","given":"Phillip M."},{"family":"Gusev","given":"Vladimir V."},{"family":"Aitchison","given":"Catherine M."},{"family":"Bai","given":"Yang"},{"family":"Wang","given":"Xiaoyan"},{"family":"Li","given":"Xiaobo"},{"family":"Alston","given":"Ben M."},{"family":"Li","given":"Buyi"},{"family":"Clowes","given":"Rob"},{"family":"Rankin","given":"Nicola"},{"family":"Harris","given":"Brandon"},{"family":"Sprick","given":"Reiner Sebastian"},{"family":"Cooper","given":"Andrew I."}],"issued":{"date-parts":[["2020",7,9]]}}}],"schema":"https://github.com/citation-style-language/schema/raw/master/csl-citation.json"} </w:instrText>
      </w:r>
      <w:r w:rsidR="00BA10FD" w:rsidRPr="00996185">
        <w:rPr>
          <w:rStyle w:val="None"/>
        </w:rPr>
        <w:fldChar w:fldCharType="separate"/>
      </w:r>
      <w:r w:rsidR="00147125" w:rsidRPr="00996185">
        <w:rPr>
          <w:rFonts w:cs="Arial"/>
          <w:szCs w:val="24"/>
          <w:vertAlign w:val="superscript"/>
        </w:rPr>
        <w:t>[3]</w:t>
      </w:r>
      <w:r w:rsidR="00BA10FD" w:rsidRPr="00996185">
        <w:rPr>
          <w:rStyle w:val="None"/>
        </w:rPr>
        <w:fldChar w:fldCharType="end"/>
      </w:r>
      <w:r w:rsidRPr="00996185">
        <w:rPr>
          <w:rStyle w:val="None"/>
        </w:rPr>
        <w:t xml:space="preserve"> These methods are predominantly used in biological and pharmaceutical industries.</w:t>
      </w:r>
      <w:r w:rsidR="00BA10FD" w:rsidRPr="00996185">
        <w:rPr>
          <w:rStyle w:val="None"/>
        </w:rPr>
        <w:fldChar w:fldCharType="begin"/>
      </w:r>
      <w:r w:rsidR="00147125" w:rsidRPr="00996185">
        <w:rPr>
          <w:rStyle w:val="None"/>
        </w:rPr>
        <w:instrText xml:space="preserve"> ADDIN ZOTERO_ITEM CSL_CITATION {"citationID":"Uk3aZKM4","properties":{"formattedCitation":"\\super [4\\uc0\\u8211{}7]\\nosupersub{}","plainCitation":"[4–7]","noteIndex":0},"citationItems":[{"id":1852,"uris":["http://zotero.org/users/8284002/items/LYRZJ2AH"],"itemData":{"id":1852,"type":"article-journal","container-title":"ACS Medicinal Chemistry Letters","DOI":"10.1021/acsmedchemlett.7b00165","ISSN":"1948-5875, 1948-5875","issue":"6","journalAbbreviation":"ACS Med. Chem. Lett.","language":"en","page":"601-607","source":"DOI.org (Crossref)","title":"Practical High-Throughput Experimentation for Chemists","volume":"8","author":[{"family":"Shevlin","given":"Michael"}],"issued":{"date-parts":[["2017",6,8]]}},"label":"page"},{"id":1739,"uris":["http://zotero.org/users/8284002/items/9FN2ZFBM"],"itemData":{"id":1739,"type":"article-journal","container-title":"Nature Communications","DOI":"10.1038/s41467-020-19040-0","page":"5391","title":"A combined high-throughput and high-content platform for unified on-chip synthesis, characterization and biological screening","volume":"11","author":[{"family":"Benz","given":"Maximilian"},{"family":"Asperger","given":"Arndt"},{"family":"Hamester","given":"Meike"},{"family":"Welle","given":"Alexander"},{"family":"Heissler","given":"Stefan"},{"family":"Levkin","given":"Pavel A"}],"issued":{"date-parts":[["2020"]]}},"label":"page"},{"id":1882,"uris":["http://zotero.org/users/8284002/items/CX8BAW9A"],"itemData":{"id":1882,"type":"article-journal","container-title":"International Journal of Molecular Sciences","DOI":"10.3390/ijms13010427","ISSN":"1422-0067","issue":"1","journalAbbreviation":"IJMS","language":"en","page":"427-452","source":"DOI.org (Crossref)","title":"Adaptation of High-Throughput Screening in Drug Discovery—Toxicological Screening Tests","volume":"13","author":[{"family":"Szymański","given":"Paweł"},{"family":"Markowicz","given":"Magdalena"},{"family":"Mikiciuk-Olasik","given":"Elżbieta"}],"issued":{"date-parts":[["2011",12,29]]}},"label":"page"},{"id":1883,"uris":["http://zotero.org/users/8284002/items/T9LFD6GA"],"itemData":{"id":1883,"type":"article-journal","container-title":"APL Materials","DOI":"10.1063/1.4950995","ISSN":"2166-532X","issue":"5","journalAbbreviation":"APL Mater.","language":"en","page":"053211","source":"DOI.org (Crossref)","title":"Perspective: Composition–structure–property mapping in high-throughput experiments: Turning data into knowledge","title-short":"Perspective","volume":"4","author":[{"family":"Hattrick-Simpers","given":"Jason R."},{"family":"Gregoire","given":"John M."},{"family":"Kusne","given":"A. Gilad"}],"issued":{"date-parts":[["2016",5,1]]}},"label":"page"}],"schema":"https://github.com/citation-style-language/schema/raw/master/csl-citation.json"} </w:instrText>
      </w:r>
      <w:r w:rsidR="00BA10FD" w:rsidRPr="00996185">
        <w:rPr>
          <w:rStyle w:val="None"/>
        </w:rPr>
        <w:fldChar w:fldCharType="separate"/>
      </w:r>
      <w:r w:rsidR="00147125" w:rsidRPr="00996185">
        <w:rPr>
          <w:rFonts w:cs="Arial"/>
          <w:szCs w:val="24"/>
          <w:vertAlign w:val="superscript"/>
        </w:rPr>
        <w:t>[4–7]</w:t>
      </w:r>
      <w:r w:rsidR="00BA10FD" w:rsidRPr="00996185">
        <w:rPr>
          <w:rStyle w:val="None"/>
        </w:rPr>
        <w:fldChar w:fldCharType="end"/>
      </w:r>
      <w:r w:rsidRPr="00996185">
        <w:rPr>
          <w:rStyle w:val="None"/>
        </w:rPr>
        <w:t xml:space="preserve"> Further HT methods are nowadays used in other industries beyond</w:t>
      </w:r>
      <w:r w:rsidR="005B3BD9" w:rsidRPr="00996185">
        <w:rPr>
          <w:rStyle w:val="None"/>
        </w:rPr>
        <w:t xml:space="preserve"> </w:t>
      </w:r>
      <w:r w:rsidRPr="00996185">
        <w:rPr>
          <w:rStyle w:val="None"/>
        </w:rPr>
        <w:t>pharma.</w:t>
      </w:r>
      <w:r w:rsidR="00BA10FD" w:rsidRPr="00996185">
        <w:rPr>
          <w:rStyle w:val="None"/>
        </w:rPr>
        <w:fldChar w:fldCharType="begin"/>
      </w:r>
      <w:r w:rsidR="00147125" w:rsidRPr="00996185">
        <w:rPr>
          <w:rStyle w:val="None"/>
        </w:rPr>
        <w:instrText xml:space="preserve"> ADDIN ZOTERO_ITEM CSL_CITATION {"citationID":"sRIGHlt2","properties":{"formattedCitation":"\\super [8\\uc0\\u8211{}11]\\nosupersub{}","plainCitation":"[8–11]","noteIndex":0},"citationItems":[{"id":1740,"uris":["http://zotero.org/users/8284002/items/S43EETNK"],"itemData":{"id":1740,"type":"article-journal","container-title":"Nature Methods","DOI":"10.1038/nmeth0109-105","page":"105-108","title":"High-throughput screening: designer screens","volume":"6","author":[{"family":"Blow","given":"Nathan"}],"issued":{"date-parts":[["2009"]]}},"label":"page"},{"id":1741,"uris":["http://zotero.org/users/8284002/items/Y2V6I7VF"],"itemData":{"id":1741,"type":"article-journal","container-title":"ACS Energy Letters","DOI":"10.1021/acsenergylett.7b00035","issue":"4","note":"number: 4","page":"837-845","title":"Rational Design: A High-Throughput Computational Screening and Experimental Validation Methodology for Lead-Free and Emergent Hybrid Perovskites","volume":"2","author":[{"family":"Chakraboty","given":"Sudip"},{"family":"Xie","given":"Wei"},{"family":"Mathews","given":"Nripan"},{"family":"Sherburne","given":"Matthew"},{"family":"Ahuja","given":"Rajeev"},{"family":"Asta","given":"Mark"},{"family":"Mhaisalkar","given":"Subodh G"}],"issued":{"date-parts":[["2017"]]}},"label":"page"},{"id":1885,"uris":["http://zotero.org/users/8284002/items/CCPYA9YZ"],"itemData":{"id":1885,"type":"article-journal","abstract":"An autonomous laboratory for thin film discovery is used to optimize the doping and annealing of organic semiconductors.\n          , \n            Discovering and optimizing commercially viable materials for clean energy applications typically takes more than a decade. Self-driving laboratories that iteratively design, execute, and learn from materials science experiments in a fully autonomous loop present an opportunity to accelerate this research process. We report here a modular robotic platform driven by a model-based optimization algorithm capable of autonomously optimizing the optical and electronic properties of thin-film materials by modifying the film composition and processing conditions. We demonstrate the power of this platform by using it to maximize the hole mobility of organic hole transport materials commonly used in perovskite solar cells and consumer electronics. This demonstration highlights the possibilities of using autonomous laboratories to discover organic and inorganic materials relevant to materials sciences and clean energy technologies.","container-title":"Science Advances","DOI":"10.1126/sciadv.aaz8867","ISSN":"2375-2548","issue":"20","journalAbbreviation":"Sci. Adv.","language":"en","page":"eaaz8867","source":"DOI.org (Crossref)","title":"Self-driving laboratory for accelerated discovery of thin-film materials","volume":"6","author":[{"family":"MacLeod","given":"B. P."},{"family":"Parlane","given":"F. G. L."},{"family":"Morrissey","given":"T. D."},{"family":"Häse","given":"F."},{"family":"Roch","given":"L. M."},{"family":"Dettelbach","given":"K. E."},{"family":"Moreira","given":"R."},{"family":"Yunker","given":"L. P. E."},{"family":"Rooney","given":"M. B."},{"family":"Deeth","given":"J. R."},{"family":"Lai","given":"V."},{"family":"Ng","given":"G. J."},{"family":"Situ","given":"H."},{"family":"Zhang","given":"R. H."},{"family":"Elliott","given":"M. S."},{"family":"Haley","given":"T. H."},{"family":"Dvorak","given":"D. J."},{"family":"Aspuru-Guzik","given":"A."},{"family":"Hein","given":"J. E."},{"family":"Berlinguette","given":"C. P."}],"issued":{"date-parts":[["2020",5,15]]}},"label":"page"},{"id":1889,"uris":["http://zotero.org/users/8284002/items/8WTYP97B"],"itemData":{"id":1889,"type":"article-journal","container-title":"Oil &amp; Gas Science and Technology – Revue d’IFP Energies nouvelles","DOI":"10.2516/ogst/2012012","ISSN":"1294-4475, 1953-8189","issue":"3","journalAbbreviation":"Oil Gas Sci. Technol. – Rev. IFP Energies nouvelles","page":"519-528","source":"DOI.org (Crossref)","title":"Development of Asymmetric Hydrogenation Catalysts via High Throughput Experimentation","volume":"68","author":[{"family":"Vries","given":"J. G.","non-dropping-particle":"de"},{"family":"Lefort","given":"L."}],"issued":{"date-parts":[["2013",5]]}},"label":"page"}],"schema":"https://github.com/citation-style-language/schema/raw/master/csl-citation.json"} </w:instrText>
      </w:r>
      <w:r w:rsidR="00BA10FD" w:rsidRPr="00996185">
        <w:rPr>
          <w:rStyle w:val="None"/>
        </w:rPr>
        <w:fldChar w:fldCharType="separate"/>
      </w:r>
      <w:r w:rsidR="00147125" w:rsidRPr="00996185">
        <w:rPr>
          <w:rFonts w:cs="Arial"/>
          <w:szCs w:val="24"/>
          <w:vertAlign w:val="superscript"/>
        </w:rPr>
        <w:t>[8–11]</w:t>
      </w:r>
      <w:r w:rsidR="00BA10FD" w:rsidRPr="00996185">
        <w:rPr>
          <w:rStyle w:val="None"/>
        </w:rPr>
        <w:fldChar w:fldCharType="end"/>
      </w:r>
      <w:r w:rsidRPr="00996185">
        <w:rPr>
          <w:rStyle w:val="None"/>
        </w:rPr>
        <w:t xml:space="preserve"> Recent efforts have been made to use HT methods to discover and optimize materials for battery cell chemistries.</w:t>
      </w:r>
      <w:r w:rsidR="00BA10FD" w:rsidRPr="00996185">
        <w:rPr>
          <w:rStyle w:val="None"/>
        </w:rPr>
        <w:fldChar w:fldCharType="begin"/>
      </w:r>
      <w:r w:rsidR="00147125" w:rsidRPr="00996185">
        <w:rPr>
          <w:rStyle w:val="None"/>
        </w:rPr>
        <w:instrText xml:space="preserve"> ADDIN ZOTERO_ITEM CSL_CITATION {"citationID":"Poi8FwKs","properties":{"unsorted":false,"formattedCitation":"\\super [12,13]\\nosupersub{}","plainCitation":"[12,13]","noteIndex":0},"citationItems":[{"id":185,"uris":["http://zotero.org/users/8284002/items/9DPM4KCH"],"itemData":{"id":185,"type":"article-journal","abstract":"A cost effective and reliable technology for the fabrication of electrochemical test-cell arrays for battery materials research, based on batch-fabricated glass micro packages was developed and tested. Jet dispensing was investigated for the first time as a process for fabricating battery electrode arrays and separators and compared to micro dispense printing. The process shows the reproducibility over the whole range of investigated materials and battery cell structures that is required for battery materials research. Such setup gives rise to a significantly improved reliability and reproducibility of electrochemical experiments. Cost-effective fabrication of our test chips by batch processing allows for their single-use in electrochemical experiments, thereby preventing contamination issues due to repeated use as in conventional laboratory test cells. In addition, the integration of micro pseudo reference electrodes is demonstrated. Thus, the test cell array together with the developed electrode/electrolyte deposition technology provide a highly efficient tool for speedy combinatorial and high throughput testing of battery materials on a system level (full cell tests). Experimental results are shown for the microfabrication of lithium-ion test cells with help of several electrode and binder materials. The influence of jetting parameters on electrode lateral dimensions and thickness, reproducibility of the electrode mass as well as the use of integrated micro-reference electrodes for impedance spectroscopy and cyclic voltammetry measurements in micro cells are presented in detail.","container-title":"Microsystem Technologies","DOI":"10.1007/s00542-019-04368-5","ISSN":"1432-1858","issue":"4","journalAbbreviation":"Microsyst Technol","language":"en","page":"1137-1149","source":"Springer Link","title":"High-throughput battery materials testing based on test cell arrays and dispense/jet printed electrodes","volume":"25","author":[{"family":"Hahn","given":"Robert"},{"family":"Ferch","given":"Marc"},{"family":"Tribowski","given":"Kevin"},{"family":"Kyeremateng","given":"Neil Amponsah"},{"family":"Hoeppner","given":"Katrin"},{"family":"Marquardt","given":"Krystan"},{"family":"Lang","given":"Klaus-Dieter"},{"family":"Bock","given":"Wolfgang"}],"issued":{"date-parts":[["2019",4,1]]}},"label":"page"},{"id":1903,"uris":["http://zotero.org/users/8284002/items/9ZHYMTS8"],"itemData":{"id":1903,"type":"article-journal","abstract":"In this work, we introduce a novel workflow that couples robotics to machine-learning for efficient optimization of a non-aqueous battery electrolyte. A custom-built automated experiment named \"Clio\" is coupled to Dragonfly - a Bayesian optimization-based experiment planner. Clio autonomously optimizes electrolyte conductivity over a single-salt, ternary solvent design space. Using this workflow, we identify 6 fast-charging electrolytes in 2 work-days and 42 experiments (compared with 60 days using exhaustive search of the 1000 possible candidates, or 6 days assuming only 10% of candidates are evaluated). Our method finds the highest reported conductivity electrolyte in a design space heavily explored by previous literature, converging on a high-conductivity mixture that demonstrates subtle electrolyte chemical physics.","DOI":"10.48550/ARXIV.2111.14786","note":"publisher: arXiv\nversion: 1","source":"DOI.org (Datacite)","title":"Autonomous optimization of nonaqueous battery electrolytes via robotic experimentation and machine learning","URL":"https://arxiv.org/abs/2111.14786","author":[{"family":"Dave","given":"Adarsh"},{"family":"Mitchell","given":"Jared"},{"family":"Burke","given":"Sven"},{"family":"Lin","given":"Hongyi"},{"family":"Whitacre","given":"Jay"},{"family":"Viswanathan","given":"Venkatasubramanian"}],"accessed":{"date-parts":[["2022",4,14]]},"issued":{"date-parts":[["2021"]]}},"label":"page"}],"schema":"https://github.com/citation-style-language/schema/raw/master/csl-citation.json"} </w:instrText>
      </w:r>
      <w:r w:rsidR="00BA10FD" w:rsidRPr="00996185">
        <w:rPr>
          <w:rStyle w:val="None"/>
        </w:rPr>
        <w:fldChar w:fldCharType="separate"/>
      </w:r>
      <w:r w:rsidR="00147125" w:rsidRPr="00996185">
        <w:rPr>
          <w:rFonts w:cs="Arial"/>
          <w:szCs w:val="24"/>
          <w:vertAlign w:val="superscript"/>
        </w:rPr>
        <w:t>[12,13]</w:t>
      </w:r>
      <w:r w:rsidR="00BA10FD" w:rsidRPr="00996185">
        <w:rPr>
          <w:rStyle w:val="None"/>
        </w:rPr>
        <w:fldChar w:fldCharType="end"/>
      </w:r>
      <w:r w:rsidRPr="00996185">
        <w:rPr>
          <w:rStyle w:val="None"/>
        </w:rPr>
        <w:t xml:space="preserve"> High-throughput experimentation (HTE) systems represent a highly valuable tool for accelerating the search towards advanced and optimized battery materials and with it, electrolyte formulations for given cell chemistry candidates, electrode-electrolyte interfaces, overall cell </w:t>
      </w:r>
      <w:r w:rsidRPr="00996185">
        <w:rPr>
          <w:rStyle w:val="None"/>
        </w:rPr>
        <w:t>performance, safety and cost. Recently, computational screening methodologies have been used to effectively support the battery material discovery process and a combinatorial approach of experiments and computational approach has been discussed as a way forward in the battery material discovery process.</w:t>
      </w:r>
      <w:r w:rsidR="00BA10FD" w:rsidRPr="00996185">
        <w:rPr>
          <w:rStyle w:val="None"/>
        </w:rPr>
        <w:fldChar w:fldCharType="begin"/>
      </w:r>
      <w:r w:rsidR="00147125" w:rsidRPr="00996185">
        <w:rPr>
          <w:rStyle w:val="None"/>
        </w:rPr>
        <w:instrText xml:space="preserve"> ADDIN ZOTERO_ITEM CSL_CITATION {"citationID":"sMvPs6D1","properties":{"formattedCitation":"\\super [14,15]\\nosupersub{}","plainCitation":"[14,15]","noteIndex":0},"citationItems":[{"id":18,"uris":["http://zotero.org/users/8284002/items/5MDUDLIC"],"itemData":{"id":18,"type":"article-journal","container-title":"The Journal of Physical Chemistry Letters","DOI":"10.1021/jz502319n","ISSN":"1948-7185","issue":"2","journalAbbreviation":"J. Phys. Chem. Lett.","language":"en","page":"283-291","source":"DOI.org (Crossref)","title":"Accelerating Electrolyte Discovery for Energy Storage with High-Throughput Screening","volume":"6","author":[{"family":"Cheng","given":"Lei"},{"family":"Assary","given":"Rajeev S."},{"family":"Qu","given":"Xiaohui"},{"family":"Jain","given":"Anubhav"},{"family":"Ong","given":"Shyue Ping"},{"family":"Rajput","given":"Nav Nidhi"},{"family":"Persson","given":"Kristin"},{"family":"Curtiss","given":"Larry A."}],"issued":{"date-parts":[["2015",1,15]]}},"label":"page"},{"id":1896,"uris":["http://zotero.org/users/8284002/items/JXQB5UUP"],"itemData":{"id":1896,"type":"article-journal","container-title":"Advanced Materials","DOI":"10.1002/adma.202101474","ISSN":"0935-9648, 1521-4095","journalAbbreviation":"Advanced Materials","language":"en","pag</w:instrText>
      </w:r>
      <w:r w:rsidR="00147125" w:rsidRPr="00996185">
        <w:rPr>
          <w:rStyle w:val="None"/>
          <w:rFonts w:hint="eastAsia"/>
        </w:rPr>
        <w:instrText>e":"2101474","source":"DOI.org (Crossref)","title":"Machine Learning: An Advanced Platform for Materials Development and State Prediction in Lithium</w:instrText>
      </w:r>
      <w:r w:rsidR="00147125" w:rsidRPr="00996185">
        <w:rPr>
          <w:rStyle w:val="None"/>
          <w:rFonts w:ascii="Cambria Math" w:hAnsi="Cambria Math" w:cs="Cambria Math"/>
        </w:rPr>
        <w:instrText>‐</w:instrText>
      </w:r>
      <w:r w:rsidR="00147125" w:rsidRPr="00996185">
        <w:rPr>
          <w:rStyle w:val="None"/>
          <w:rFonts w:hint="eastAsia"/>
        </w:rPr>
        <w:instrText>Ion Batteries","title-short":"Machine Learning","author":[{"family":"Lv","given":"Chade"},{"family":"Zhou"</w:instrText>
      </w:r>
      <w:r w:rsidR="00147125" w:rsidRPr="00996185">
        <w:rPr>
          <w:rStyle w:val="None"/>
        </w:rPr>
        <w:instrText xml:space="preserve">,"given":"Xin"},{"family":"Zhong","given":"Lixiang"},{"family":"Yan","given":"Chunshuang"},{"family":"Srinivasan","given":"Madhavi"},{"family":"Seh","given":"Zhi Wei"},{"family":"Liu","given":"Chuntai"},{"family":"Pan","given":"Hongge"},{"family":"Li","given":"Shuzhou"},{"family":"Wen","given":"Yonggang"},{"family":"Yan","given":"Qingyu"}],"issued":{"date-parts":[["2021",9,7]]}},"label":"page"}],"schema":"https://github.com/citation-style-language/schema/raw/master/csl-citation.json"} </w:instrText>
      </w:r>
      <w:r w:rsidR="00BA10FD" w:rsidRPr="00996185">
        <w:rPr>
          <w:rStyle w:val="None"/>
        </w:rPr>
        <w:fldChar w:fldCharType="separate"/>
      </w:r>
      <w:r w:rsidR="00147125" w:rsidRPr="00996185">
        <w:rPr>
          <w:rFonts w:cs="Arial"/>
          <w:szCs w:val="24"/>
          <w:vertAlign w:val="superscript"/>
        </w:rPr>
        <w:t>[14,15]</w:t>
      </w:r>
      <w:r w:rsidR="00BA10FD" w:rsidRPr="00996185">
        <w:rPr>
          <w:rStyle w:val="None"/>
        </w:rPr>
        <w:fldChar w:fldCharType="end"/>
      </w:r>
      <w:r w:rsidRPr="00996185">
        <w:rPr>
          <w:rStyle w:val="None"/>
        </w:rPr>
        <w:t xml:space="preserve"> Data driven models are predominantly used to extract knowledge and insights from noisy, structured and unstructured datasets.</w:t>
      </w:r>
      <w:r w:rsidR="00BA10FD" w:rsidRPr="00996185">
        <w:rPr>
          <w:rStyle w:val="None"/>
        </w:rPr>
        <w:fldChar w:fldCharType="begin"/>
      </w:r>
      <w:r w:rsidR="00147125" w:rsidRPr="00996185">
        <w:rPr>
          <w:rStyle w:val="None"/>
        </w:rPr>
        <w:instrText xml:space="preserve"> ADDIN ZOTERO_ITEM CSL_CITATION {"citationID":"ruQ2Z9D9","properties":{"formattedCitation":"\\super [16\\uc0\\u8211{}19]\\nosupersub{}","plainCitation":"[16–19]","noteIndex":0},"citationItems":[{"id":1742,"uris":["http://zotero.org/users/8284002/items/KS8ZCSM6"],"itemData":{"id":1742,"type":"article-journal","container-title":"Journal of the American Chemical Society","DOI":"10.1021/jacs.0c12290","issue":"2","note":"number: 2","page":"1179-1194","title":"High-Throughput Screening and Automated Data-Driven Analysis of the Triplet Photophysical Properties of Structurally Diverse, Heteroleptic Iridium(III) Complexes","volume":"143","author":[{"family":"DiLuzio","given":"Stephen"},{"family":"Mdluli","given":"Velabo"},{"family":"U Connel","given":"Timothy"},{"family":"Lewis","given":"Jacqueline"},{"family":"VanBenschoten","given":"Victoria"},{"family":"Bernhard","given":"Stefan"}],"issued":{"date-parts":[["2021"]]}}},{"id":874,"uris":["http://zotero.org/users/8284002/items/J3N28DUZ"],"itemData":{"id":874,"type":"article-journal","container-title":"npj Computational Materials","DOI":"10.1038/s41524-019-0221-0","ISSN":"2057-3960","issue":"1","language":"en","page":"83","source":"DOI.org (Crossref)","title":"Recent advances and applications of machine learning in solid-state materials science","volume":"5","author":[{"family":"Schmidt","given":"Jonathan"},{"family":"Marques","given":"Mário R. G."},{"family":"Botti","given":"Silvana"},{"family":"Marques","given":"Miguel A. L."}],"issued":{"date-parts":[["2019",12]]}}},{"id":1755,"uris":["http://zotero.org/users/8284002/items/HY6IE26T"],"itemData":{"id":1755,"type":"article-journal","container-title":"Renewable and Sustainable Energy Reviews","DOI":"10.1016/j.rser.2019.109254,","page":"109254","title":"Data-driven health estimation and lifetime prediction of lithium-ion batteries: A review","volume":"113","author":[{"family":"Li","given":"Yi"},{"family":"Liu","given":"Kailong"},{"family":"Foley","given":"Aofie M"},{"family":"Zulke","given":"Alana"},{"family":"Berecibar","given":"Maitane"},{"family":"Nanini Maury","given":"Elise"},{"literal":"Mierlo Joeri Van"},{"family":"Hoster","given":"Harry E"}],"issued":{"date-parts":[["2019"]]}}},{"id":1757,"uris":["http://zotero.org/users/8284002/items/FLVVEFDB"],"itemData":{"id":1757,"type":"article-journal","container-title":"Industrial &amp; Engineering Chemistry Research","DOI":"doi.org/10.1021/ie101513z","issue":"7","note":"number: 7","page":"4050-4056","title":"Using a Multilayer Perceptron Network for Thermal Conductivity Prediction of Aqueous Electrolyte Solutions","volume":"50","author":[{"family":"Eslamloueyan","given":"Reza"},{"family":"Khademi","given":"Mohammad H"},{"family":"Mazinani","given":"Saeed"}],"issued":{"date-parts":[["2011"]]}}}],"schema":"https://github.com/citation-style-language/schema/raw/master/csl-citation.json"} </w:instrText>
      </w:r>
      <w:r w:rsidR="00BA10FD" w:rsidRPr="00996185">
        <w:rPr>
          <w:rStyle w:val="None"/>
        </w:rPr>
        <w:fldChar w:fldCharType="separate"/>
      </w:r>
      <w:r w:rsidR="00147125" w:rsidRPr="00996185">
        <w:rPr>
          <w:rFonts w:cs="Arial"/>
          <w:szCs w:val="24"/>
          <w:vertAlign w:val="superscript"/>
        </w:rPr>
        <w:t>[16–19]</w:t>
      </w:r>
      <w:r w:rsidR="00BA10FD" w:rsidRPr="00996185">
        <w:rPr>
          <w:rStyle w:val="None"/>
        </w:rPr>
        <w:fldChar w:fldCharType="end"/>
      </w:r>
      <w:r w:rsidRPr="00996185">
        <w:rPr>
          <w:rStyle w:val="None"/>
        </w:rPr>
        <w:t xml:space="preserve"> Optimization of datasets (features, number of samples) are </w:t>
      </w:r>
      <w:r w:rsidR="009F7391" w:rsidRPr="00996185">
        <w:rPr>
          <w:rStyle w:val="None"/>
        </w:rPr>
        <w:t xml:space="preserve">required </w:t>
      </w:r>
      <w:r w:rsidRPr="00996185">
        <w:rPr>
          <w:rStyle w:val="None"/>
        </w:rPr>
        <w:t>to increase the efficiency of such models.</w:t>
      </w:r>
      <w:r w:rsidR="007E7381" w:rsidRPr="00996185">
        <w:rPr>
          <w:rStyle w:val="None"/>
        </w:rPr>
        <w:fldChar w:fldCharType="begin"/>
      </w:r>
      <w:r w:rsidR="00147125" w:rsidRPr="00996185">
        <w:rPr>
          <w:rStyle w:val="None"/>
        </w:rPr>
        <w:instrText xml:space="preserve"> ADDIN ZOTERO_ITEM CSL_CITATION {"citationID":"Fwv9S8NE","properties":{"formattedCitation":"\\super [20\\uc0\\u8211{}23]\\nosupersub{}","plainCitation":"[20–23]","noteIndex":0},"citationItems":[{"id":786,"uris":["http://zotero.org/users/8284002/items/7B5PBP98"],"itemData":{"id":786,"type":"article-journal","abstract":"We propose an active learning scheme for automatically sampling a minimum number of uncorrelated configurations for fitting the Gaussian Approximation Potential (GAP). Our active learning scheme consists of an unsupervised machine learning (ML) scheme coupled with a Bayesian optimization technique that evaluates the GAP model. We apply this scheme to a Hafnium dioxide (HfO2) dataset generated from a “melt-quench” ab initio molecular dynamics (AIMD) protocol. Our results show that the active learning scheme, with no prior knowledge of the dataset, is able to extract a configuration that reaches the required energy fit tolerance. Further, molecular dynamics (MD) simulations performed using this active learned GAP model on 6144 atom systems of amorphous and liquid state elucidate the structural properties of HfO2 with near ab initio precision and quench rates (i.e., 1.0 K/ps) not accessible via AIMD. The melt and amorphous X-ray structural factors generated from our simulation are in good agreement with experiment. In addition, the calculated diffusion constants are in good agreement with previous ab initio studies.","container-title":"npj Computational Materials","DOI":"10.1038/s41524-020-00367-7","ISSN":"2057-3960","issue":"1","journalAbbreviation":"npj Comput Mater","language":"en","note":"number: 1\npublisher: Nature Publishing Group","page":"1-8","source":"www.nature.com","title":"Machine-learned interatomic potentials by active learning: amorphous and liquid hafnium dioxide","title-short":"Machine-learned interatomic potentials by active learning","volume":"6","author":[{"family":"Sivaraman","given":"Ganesh"},{"family":"Krishnamoorthy","given":"Anand Narayanan"},{"family":"Baur","given":"Matthias"},{"family":"Holm","given":"Christian"},{"family":"Stan","given":"Marius"},{"family":"Csányi","given":"Gábor"},{"family":"Benmore","given":"Chris"},{"family":"Vázquez-Mayagoitia","given":"Álvaro"}],"issued":{"date-parts":[["2020",7,23]]}},"label":"page"},{"id":789,"uris":["http://zotero.org/users/8284002/items/ZK7CVGBB"],"itemData":{"id":789,"type":"article-journal","abstract":"Understanding the structure and properties of refractory oxides is critical for high temperature applications. In this work, a combined experimental and simulation approach uses an automated closed loop via an active learner, which is initialized by x-ray and neutron diffraction measurements, and sequentially improves a machine-learning model until the experimentally prede</w:instrText>
      </w:r>
      <w:r w:rsidR="00147125" w:rsidRPr="00996185">
        <w:rPr>
          <w:rStyle w:val="None"/>
          <w:rFonts w:hint="eastAsia"/>
        </w:rPr>
        <w:instrText xml:space="preserve">termined phase space is covered. A multiphase potential is generated for a canonical example of the archetypal refractory oxide, HfO2, by drawing a minimum number of training configurations from room temperature to the liquid state at </w:instrText>
      </w:r>
      <w:r w:rsidR="00147125" w:rsidRPr="00996185">
        <w:rPr>
          <w:rStyle w:val="None"/>
          <w:rFonts w:hint="eastAsia"/>
        </w:rPr>
        <w:instrText>∼</w:instrText>
      </w:r>
      <w:r w:rsidR="00147125" w:rsidRPr="00996185">
        <w:rPr>
          <w:rStyle w:val="None"/>
          <w:rFonts w:hint="eastAsia"/>
        </w:rPr>
        <w:instrText xml:space="preserve">2900 </w:instrText>
      </w:r>
      <w:r w:rsidR="00147125" w:rsidRPr="00996185">
        <w:rPr>
          <w:rStyle w:val="None"/>
          <w:rFonts w:hint="eastAsia"/>
        </w:rPr>
        <w:instrText>°</w:instrText>
      </w:r>
      <w:r w:rsidR="00147125" w:rsidRPr="00996185">
        <w:rPr>
          <w:rStyle w:val="None"/>
          <w:rFonts w:hint="eastAsia"/>
        </w:rPr>
        <w:instrText>C. The method</w:instrText>
      </w:r>
      <w:r w:rsidR="00147125" w:rsidRPr="00996185">
        <w:rPr>
          <w:rStyle w:val="None"/>
        </w:rPr>
        <w:instrText xml:space="preserve"> significantly reduces model development time and human effort.","container-title":"Physical Review Letters","DOI":"10.1103/PhysRevLett.126.156002","issue":"15","journalAbbreviation":"Phys. Rev. Lett.","note":"publisher: American Physical Society","page":"156002","source":"APS","title":"Experimentally Driven Automated Machine-Learned Interatomic Potential for a Refractory Oxide","volume":"126","author":[{"family":"Sivaraman","given":"Ganesh"},{"family":"Gallington","given":"Leighanne"},{"family":"Krishnamoorthy","given":"Anand Narayanan"},{"family":"Stan","given":"Marius"},{"family":"Csányi","given":"Gábor"},{"family":"Vázquez-Mayagoitia","given":"Álvaro"},{"family":"Benmore","given":"Chris J."}],"issued":{"date-parts":[["2021",4,14]]}},"label":"page"},{"id":544,"uris":["http://zotero.org/users/8284002/items/TVRSVJH3"],"itemData":{"id":544,"type":"article-journal","container-title":"Cell Reports Physical Science","DOI":"10.1016/j.xcrp.2020.100264","ISSN":"26663864","issue":"12","journalAbbreviation":"Cell Reports Physical Science","language":"en","page":"100264","source":"DOI.org (Crossref)","title":"Autonomous Discovery of Battery Electrolytes with Robotic Experimentation and Machine Learning","volume":"1","author":[{"family":"Dave","given":"Adarsh"},{"family":"Mitchell","given":"Jared"},{"family":"Kandasamy","given":"Kirthevasan"},{"family":"Wang","given":"Han"},{"family":"Burke","given":"Sven"},{"family":"Paria","given":"Biswajit"},{"family":"Póczos","given":"Barnabás"},{"family":"Whitacre","given":"Jay"},{"family":"Viswanathan","given":"Venkatasubramanian"}],"issued":{"date-parts":[["2020",12]]}},"label":"page"},{"id":1900,"uris":["http://zotero.org/users/8284002/items/IEBLKQUB"],"itemData":{"id":1900,"type":"article-journal","container-title":"Expert Opinion on Drug Discovery","DOI":"10.1080/17460441.2019.1546690","ISSN":"1746-0441, 1746-045X","issue":"1","journalAbbreviation":"Expert Opinion on Drug Discovery","language":"en","page":"1-4","source":"DOI.org (Crossref)","title":"Closed-loop discovery platform integration is needed for artificial intelligence to make an impact in drug discovery","volume":"14","author":[{"family":"Saikin","given":"Semion K."},{"family":"Kreisbeck","given":"Christoph"},{"family":"Sheberla","given":"Dennis"},{"family":"Becker","given":"Jill S."},{"family":"Aspuru-Guzik","given":"Alán"}],"issued":{"date-parts":[["2019",1,2]]}},"label":"page"}],"schema":"https://github.com/citation-style-language/schema/raw/master/csl-citation.json"} </w:instrText>
      </w:r>
      <w:r w:rsidR="007E7381" w:rsidRPr="00996185">
        <w:rPr>
          <w:rStyle w:val="None"/>
        </w:rPr>
        <w:fldChar w:fldCharType="separate"/>
      </w:r>
      <w:r w:rsidR="00147125" w:rsidRPr="00996185">
        <w:rPr>
          <w:rFonts w:cs="Arial"/>
          <w:szCs w:val="24"/>
          <w:vertAlign w:val="superscript"/>
        </w:rPr>
        <w:t>[20–23]</w:t>
      </w:r>
      <w:r w:rsidR="007E7381" w:rsidRPr="00996185">
        <w:rPr>
          <w:rStyle w:val="None"/>
        </w:rPr>
        <w:fldChar w:fldCharType="end"/>
      </w:r>
      <w:r w:rsidR="007E7381" w:rsidRPr="00996185">
        <w:rPr>
          <w:rStyle w:val="None"/>
          <w:vertAlign w:val="superscript"/>
        </w:rPr>
        <w:t xml:space="preserve"> </w:t>
      </w:r>
      <w:r w:rsidRPr="00996185">
        <w:rPr>
          <w:rStyle w:val="None"/>
        </w:rPr>
        <w:t>Currently artificial intelligence (AI) and machine learning algorithms are transforming material discovery processes, especially in battery science.</w:t>
      </w:r>
      <w:r w:rsidR="007E7381" w:rsidRPr="00996185">
        <w:rPr>
          <w:rStyle w:val="None"/>
          <w:vertAlign w:val="superscript"/>
        </w:rPr>
        <w:fldChar w:fldCharType="begin"/>
      </w:r>
      <w:r w:rsidR="00147125" w:rsidRPr="00996185">
        <w:rPr>
          <w:rStyle w:val="None"/>
          <w:vertAlign w:val="superscript"/>
        </w:rPr>
        <w:instrText xml:space="preserve"> ADDIN ZOTERO_ITEM CSL_CITATION {"citationID":"wYVECDry","properties":{"formattedCitation":"\\super [24,25]\\nosupersub{}","plainCitation":"[24,25]","noteIndex":0},"citationItems":[{"id":1715,"uris":["http://zotero.org/users/8284002/items/S4QHKXB5"],"itemData":{"id":1715,"type":"article-journal","container-title":"Advanced Energy Materials","DOI":"10.1002/aenm.202102678","ISSN":"1614-6832, 1614-6840","journalAbbreviation":"Adv. Energy Mater.","language":"en","page":"2102678","source":"DOI.org (Crossref)",</w:instrText>
      </w:r>
      <w:r w:rsidR="00147125" w:rsidRPr="00996185">
        <w:rPr>
          <w:rStyle w:val="None"/>
          <w:rFonts w:hint="eastAsia"/>
          <w:vertAlign w:val="superscript"/>
        </w:rPr>
        <w:instrText>"title":"High</w:instrText>
      </w:r>
      <w:r w:rsidR="00147125" w:rsidRPr="00996185">
        <w:rPr>
          <w:rStyle w:val="None"/>
          <w:rFonts w:ascii="Cambria Math" w:hAnsi="Cambria Math" w:cs="Cambria Math"/>
          <w:vertAlign w:val="superscript"/>
        </w:rPr>
        <w:instrText>‐</w:instrText>
      </w:r>
      <w:r w:rsidR="00147125" w:rsidRPr="00996185">
        <w:rPr>
          <w:rStyle w:val="None"/>
          <w:rFonts w:hint="eastAsia"/>
          <w:vertAlign w:val="superscript"/>
        </w:rPr>
        <w:instrText>Throughput Experimentation and Computational Freeway Lanes for Accelerated Battery Electrolyte and Interface Development Research","author":[{"family":"Benayad","given":"Anass"},{"family":"Diddens","given":"Diddo"},{"family":"Heuer","given":</w:instrText>
      </w:r>
      <w:r w:rsidR="00147125" w:rsidRPr="00996185">
        <w:rPr>
          <w:rStyle w:val="None"/>
          <w:vertAlign w:val="superscript"/>
        </w:rPr>
        <w:instrText>"Andreas"},{"family":"Krishnamoorthy","given":"Anand Narayanan"},{"family":"Maiti","given":"Moumita"},{"family":"Cras","given":"Frédéric Le"},{"family":"Legallais","given":"Maxime"},{"family":"Rahmanian","given":"Fuzhan"},{"family":"Shin","given":"Yuyoung</w:instrText>
      </w:r>
      <w:r w:rsidR="00147125" w:rsidRPr="00996185">
        <w:rPr>
          <w:rStyle w:val="None"/>
          <w:rFonts w:hint="eastAsia"/>
          <w:vertAlign w:val="superscript"/>
        </w:rPr>
        <w:instrText>"},{"family":"Stein","given":"Helge"},{"family":"Winter","given":"Martin"},{"family":"Wölke","given":"Christian"},{"family":"Yan","given":"Peng"},{"family":"Cekic</w:instrText>
      </w:r>
      <w:r w:rsidR="00147125" w:rsidRPr="00996185">
        <w:rPr>
          <w:rStyle w:val="None"/>
          <w:rFonts w:ascii="Cambria Math" w:hAnsi="Cambria Math" w:cs="Cambria Math"/>
          <w:vertAlign w:val="superscript"/>
        </w:rPr>
        <w:instrText>‐</w:instrText>
      </w:r>
      <w:r w:rsidR="00147125" w:rsidRPr="00996185">
        <w:rPr>
          <w:rStyle w:val="None"/>
          <w:rFonts w:hint="eastAsia"/>
          <w:vertAlign w:val="superscript"/>
        </w:rPr>
        <w:instrText>Laskovic","given":"Isidora"}],"issued":{"date-parts":[["2021",11,9]]}}},{"id":1905,"uris":["</w:instrText>
      </w:r>
      <w:r w:rsidR="00147125" w:rsidRPr="00996185">
        <w:rPr>
          <w:rStyle w:val="None"/>
          <w:vertAlign w:val="superscript"/>
        </w:rPr>
        <w:instrText xml:space="preserve">http://zotero.org/users/8284002/items/LQIUF2PL"],"itemData":{"id":1905,"type":"article-journal","container-title":"Chemical Reviews","DOI":"10.1021/acs.chemrev.1c00108","ISSN":"0009-2665, 1520-6890","journalAbbreviation":"Chem. Rev.","language":"en","page":"acs.chemrev.1c00108","source":"DOI.org (Crossref)","title":"Artificial Intelligence Applied to Battery Research: Hype or Reality?","title-short":"Artificial Intelligence Applied to Battery Research","author":[{"family":"Lombardo","given":"Teo"},{"family":"Duquesnoy","given":"Marc"},{"family":"El-Bouysidy","given":"Hassna"},{"family":"Årén","given":"Fabian"},{"family":"Gallo-Bueno","given":"Alfonso"},{"family":"Jørgensen","given":"Peter Bjørn"},{"family":"Bhowmik","given":"Arghya"},{"family":"Demortière","given":"Arnaud"},{"family":"Ayerbe","given":"Elixabete"},{"family":"Alcaide","given":"Francisco"},{"family":"Reynaud","given":"Marine"},{"family":"Carrasco","given":"Javier"},{"family":"Grimaud","given":"Alexis"},{"family":"Zhang","given":"Chao"},{"family":"Vegge","given":"Tejs"},{"family":"Johansson","given":"Patrik"},{"family":"Franco","given":"Alejandro A."}],"issued":{"date-parts":[["2021",9,16]]}}}],"schema":"https://github.com/citation-style-language/schema/raw/master/csl-citation.json"} </w:instrText>
      </w:r>
      <w:r w:rsidR="007E7381" w:rsidRPr="00996185">
        <w:rPr>
          <w:rStyle w:val="None"/>
          <w:vertAlign w:val="superscript"/>
        </w:rPr>
        <w:fldChar w:fldCharType="separate"/>
      </w:r>
      <w:r w:rsidR="00147125" w:rsidRPr="00996185">
        <w:rPr>
          <w:rFonts w:cs="Arial"/>
          <w:szCs w:val="24"/>
          <w:vertAlign w:val="superscript"/>
        </w:rPr>
        <w:t>[24,25]</w:t>
      </w:r>
      <w:r w:rsidR="007E7381" w:rsidRPr="00996185">
        <w:rPr>
          <w:rStyle w:val="None"/>
          <w:vertAlign w:val="superscript"/>
        </w:rPr>
        <w:fldChar w:fldCharType="end"/>
      </w:r>
    </w:p>
    <w:p w14:paraId="59006A6B" w14:textId="7DFC56AD" w:rsidR="004A47D4" w:rsidRPr="00996185" w:rsidRDefault="00EB2A2E" w:rsidP="001F05BE">
      <w:pPr>
        <w:pStyle w:val="P1"/>
      </w:pPr>
      <w:r w:rsidRPr="00996185">
        <w:rPr>
          <w:rStyle w:val="None"/>
        </w:rPr>
        <w:t>The performance of all batteries (including Li-ion analogues) is governed by the nature of electrolytes used. The ionic conductivity in a liquid electrolyte, for instance</w:t>
      </w:r>
      <w:r w:rsidR="009F7391" w:rsidRPr="00996185">
        <w:rPr>
          <w:rStyle w:val="None"/>
        </w:rPr>
        <w:t>,</w:t>
      </w:r>
      <w:r w:rsidRPr="00996185">
        <w:rPr>
          <w:rStyle w:val="None"/>
        </w:rPr>
        <w:t xml:space="preserve"> co-determines the rate of the charging process. Organic solvent-based electrolyte formulations are of central relevance and still considered as state-of-the-art.</w:t>
      </w:r>
      <w:r w:rsidR="007E7381" w:rsidRPr="00996185">
        <w:rPr>
          <w:rStyle w:val="None"/>
          <w:vertAlign w:val="superscript"/>
        </w:rPr>
        <w:fldChar w:fldCharType="begin"/>
      </w:r>
      <w:r w:rsidR="00147125" w:rsidRPr="00996185">
        <w:rPr>
          <w:rStyle w:val="None"/>
          <w:vertAlign w:val="superscript"/>
        </w:rPr>
        <w:instrText xml:space="preserve"> ADDIN ZOTERO_ITEM CSL_CITATION {"citationID":"5tSq30H3","properties":{"formattedCitation":"\\super [26,27]\\nosupersub{}","plainCitation":"[26,27]","noteIndex":0},"citationItems":[{"id":1749,"uris":["http://zotero.org/users/8284002/items/WZWQXZVY"],"itemData":{"id":1749,"type":"article-journal","container-title":"Journal of Energy and Power Technology - LiDSEN","DOI":"10.21926/jept.2103043","issue":"3","note":"number: 3","title":"Ion Transport in Organic Electrolyte Solutions for Lithium-ion Batteries and Beyond","volume":"3","author":[{"family":"Karatrantos","given":"Argyrios V"},{"family":"Khan","given":"Md Sharif"},{"family":"Yan","given":"Chuanyu"},{"family":"Dieden","given":"Reiner"},{"family":"Urita","given":"Koki"},{"family":"Ohba","given":"Tomonori"},{"family":"Cai","given":"Qiong"}],"issued":{"date-parts":[["2021"]]}}},{"id":1584,"uris":["http://zotero.org/users/8284002/items/WHCLPJVZ"],"itemData":{"id":1584,"type":"article-journal","container-title":"Chemical Reviews","DOI":"10.1021/acs.chemrev.8b00422","ISSN":"0009-2665, 1520-6890","issue":"23","journalAbbreviation":"Chem. Rev.","language":"en","page":"11433-11456","source":"DOI.org (Crossref)","title":"Before Li Ion Batteries","volume":"118","author":[{"family":"Winter","given":"Martin"},{"family":"Barnett","given":"Brian"},{"family":"Xu","given":"Kang"}],"issued":{"date-parts":[["2018",12,12]]}}}],"schema":"https://github.com/citation-style-language/schema/raw/master/csl-citation.json"} </w:instrText>
      </w:r>
      <w:r w:rsidR="007E7381" w:rsidRPr="00996185">
        <w:rPr>
          <w:rStyle w:val="None"/>
          <w:vertAlign w:val="superscript"/>
        </w:rPr>
        <w:fldChar w:fldCharType="separate"/>
      </w:r>
      <w:r w:rsidR="00147125" w:rsidRPr="00996185">
        <w:rPr>
          <w:rFonts w:cs="Arial"/>
          <w:szCs w:val="24"/>
          <w:vertAlign w:val="superscript"/>
        </w:rPr>
        <w:t>[26,27]</w:t>
      </w:r>
      <w:r w:rsidR="007E7381" w:rsidRPr="00996185">
        <w:rPr>
          <w:rStyle w:val="None"/>
          <w:vertAlign w:val="superscript"/>
        </w:rPr>
        <w:fldChar w:fldCharType="end"/>
      </w:r>
      <w:r w:rsidRPr="00996185">
        <w:rPr>
          <w:rStyle w:val="None"/>
        </w:rPr>
        <w:t xml:space="preserve"> Common electrolyte formulations consist of lithium conducting salt such as lithium hexafluorophosphate (LiPF</w:t>
      </w:r>
      <w:r w:rsidRPr="00996185">
        <w:rPr>
          <w:rStyle w:val="None"/>
          <w:vertAlign w:val="subscript"/>
        </w:rPr>
        <w:t>6</w:t>
      </w:r>
      <w:r w:rsidRPr="00996185">
        <w:rPr>
          <w:rStyle w:val="None"/>
        </w:rPr>
        <w:t>) and solvent mixtures comprising cyclic carbonates like ethylene carbonate (EC) and propylene carbonate (PC) with linear organic carbonates like dimethyl carbonate (DMC), ethyl methyl carbonate (EMC) and diethyl carbonate (DEC) and provide desirable electrochemical properties for Li-ion batteries.</w:t>
      </w:r>
      <w:r w:rsidR="007E7381" w:rsidRPr="00996185">
        <w:rPr>
          <w:rStyle w:val="None"/>
          <w:vertAlign w:val="superscript"/>
        </w:rPr>
        <w:fldChar w:fldCharType="begin"/>
      </w:r>
      <w:r w:rsidR="00147125" w:rsidRPr="00996185">
        <w:rPr>
          <w:rStyle w:val="None"/>
          <w:vertAlign w:val="superscript"/>
        </w:rPr>
        <w:instrText xml:space="preserve"> ADDIN ZOTERO_ITEM CSL_CITATION {"citationID":"tg90fAHR","properties":{"formattedCitation":"\\super [28\\uc0\\u8211{}33]\\nosupersub{}","plainCitation":"[28–33]","noteIndex":0},"citationItems":[{"id":130,"uris":["http://zotero.org/users/8284002/items/QUNLDHWR"],"itemData":{"id":130,"type":"article-journal","container-title":"Chemical Reviews","DOI":"10.1021/cr030203g","ISSN":"0009-2665, 1520-6890","issue":"10","journalAbbreviation":"Chem. Rev.","language":"en","page":"4303-4418","source":"DOI.org (Crossref)","title":"Nonaqueous Liquid Electrolytes for Lithium-Based Rechargeable Batteries","volume":"104","author":[{"family":"Xu","given":"Kang"}],"issued":{"date-parts":[["2004",10]]}}},{"id":1771,"uris":["http://zotero.org/users/8284002/items/ATDVFKHW"],"itemData":{"id":1771,"type":"article-journal","container-title":"Journal of Physical Chemistry B","DOI":"https://doi.org/10.1021/jp809614h","issue":"6","note":"number: 6","page":"1763-1776","title":"Quantum Chemistry and Molecular Dynamics Simulation Study of Dimethyl Carbonate: Ethylene Carbonate Electrolytes Doped with LiPF6","volume":"113","author":[{"family":"Borodin","given":"Oleg"},{"family":"Smith","given":"Grant D"}],"issued":{"date-parts":[["2009"]]}}},{"id":1772,"uris":["http://zotero.org/users/8284002/items/YDF2TURG"],"itemData":{"id":1772,"type":"article-journal","container-title":"Physical Chemistry Chemical Physics","DOI":"https://doi.org/10.1039/C8CP01485J","issue":"24","note":"number: 24","page":"16579-16591","title":"Understanding transport mechanisms in ionic liquid/carbonate solvent electrolyte blends","volume":"20","author":[{"family":"Oldiges","given":"K"},{"family":"Diddens","given":"D"},{"family":"Ebrahiminia","given":"M"},{"family":"Hooper","given":"J B"},{"family":"Cekic-Laskovic","given":"Isidora"},{"family":"Heuer","given":"Andreas"},{"family":"Bedrov","given":"D"},{"family":"Winter","given":"M"},{"family":"Brunklaus","given":"G"}],"issued":{"date-parts":[["2018"]]}}},{"id":1773,"uris":["http://zotero.org/users/8284002/items/L2HLVVUD"],"itemData":{"id":1773,"type":"article-journal","container-title":"Physical Chemistry Chemical Physics","DOI":"https://doi.org/10.1039/C5CP05121E","issue":"1","note":"number: 1","page":"164-175","title":"Competitive lithium solvation of linear and cyclic carbonates from quantum chemistry","volume":"18","author":[{"family":"Borodin","given":"Oleg"},{"family":"Olguin","given":"Marco"},{"family":"Ganesh","given":"P"},{"family":"Kent R C","given":"Paul"},{"family":"Allen","given":"Joshua L"},{"family":"Henderson","given":"Wesley A"}],"issued":{"date-parts":[["2016"]]}}},{"id":1774,"uris":["http://zotero.org/users/8284002/items/HCQWM4Z6"],"itemData":{"id":1774,"type":"article-journal","container-title":"Journal of Physical Chemistry B","DOI":"https://doi.org/10.1021/jp508184f","issue":"4","note":"number: 4","page":"1535-1545","title":"Lithium Ion Solvation and Diffusion in Bulk Organic Electrolytes from First-Principles and Classical Reactive Molecular Dynamics","volume":"119","author":[{"family":"Ong","given":"T Mitchell"},{"family":"Verners","given":"Osvalds"},{"family":"Draeger W","given":"Erik"},{"family":"Duin C T","given":"Adri","non-dropping-particle":"van"},{"family":"Lordi","given":"Vincenzo"},{"family":"Pask","given":"John E"}],"issued":{"date-parts":[["2015"]]}}},{"id":128,"uris":["http://zotero.org/users/8284002/items/VPSASEZG"],"itemData":{"id":128,"type":"article-journal","abstract":"Application of different electrolyte components as blends in nonaqueous electrolyte formulations represents a viable approach towards improving the overall performance and reliability of a lithium ion battery cell. By combining the advantages of different electrolyte constituents, cell chemistry can be optimized and tailored for a specific purpose. In this paper, the current progress on possibilities, advantages, as well as limitations of blended nonaqueous electrolyte formulations, including solvent, salt and additive blends is reviewed and discussed. Emphasis is set on the physicochemical, electrochemical, and safety aspects. In addition, the aim of this review is to provide perspective and possible strategy for further and future development of blended nonaqueous electrolytes with long life, high energy density, high power, and adequate safety at competitive manufacturing costs. The provided overview and perspective on blended nonaqueous electrolyte formulations should encourage researchers to proceed with further and deeper investigations in this promising field of advanced batteries.","container-title":"Topics in Current Chemistry","DOI":"10.1007/s41061-017-0125-8","ISSN":"2364-8961","issue":"2","journalAbbreviation":"Top Curr Chem (Z)","language":"en","page":"37","source":"Springer Link","title":"Synergistic Effect of Blended Components in Nonaqueous Electrolytes for Lithium Ion Batteries","volume":"375","author":[{"family":"Cekic-Laskovic","given":"Isidora"},{"family":"Aspern","given":"Natascha","non-dropping-particle":"von"},{"family":"Imholt","given":"Laura"},{"family":"Kaymaksiz","given":"Serife"},{"family":"Oldiges","given":"Kristina"},{"family":"Rad","given":"Babak Razaei"},{"family":"Winter","given":"Martin"}],"issued":{"date-parts":[["2017",3,15]]}}}],"schema":"https://github.com/citation-style-language/schema/raw/master/csl-citation.json"} </w:instrText>
      </w:r>
      <w:r w:rsidR="007E7381" w:rsidRPr="00996185">
        <w:rPr>
          <w:rStyle w:val="None"/>
          <w:vertAlign w:val="superscript"/>
        </w:rPr>
        <w:fldChar w:fldCharType="separate"/>
      </w:r>
      <w:r w:rsidR="00147125" w:rsidRPr="00996185">
        <w:rPr>
          <w:rFonts w:cs="Arial"/>
          <w:szCs w:val="24"/>
          <w:vertAlign w:val="superscript"/>
        </w:rPr>
        <w:t>[28–33]</w:t>
      </w:r>
      <w:r w:rsidR="007E7381" w:rsidRPr="00996185">
        <w:rPr>
          <w:rStyle w:val="None"/>
          <w:vertAlign w:val="superscript"/>
        </w:rPr>
        <w:fldChar w:fldCharType="end"/>
      </w:r>
    </w:p>
    <w:p w14:paraId="7FFF74AB" w14:textId="77777777" w:rsidR="004A47D4" w:rsidRPr="00996185" w:rsidRDefault="00EB2A2E" w:rsidP="001F05BE">
      <w:pPr>
        <w:pStyle w:val="H1"/>
        <w:rPr>
          <w:rStyle w:val="None"/>
        </w:rPr>
      </w:pPr>
      <w:r w:rsidRPr="00996185">
        <w:rPr>
          <w:rStyle w:val="None"/>
        </w:rPr>
        <w:t>Results and Discussion</w:t>
      </w:r>
    </w:p>
    <w:p w14:paraId="3F92CA9C" w14:textId="53FAD58A" w:rsidR="009F7391" w:rsidRPr="00996185" w:rsidRDefault="00EB2A2E" w:rsidP="001F05BE">
      <w:pPr>
        <w:pStyle w:val="P1"/>
        <w:rPr>
          <w:rStyle w:val="None"/>
          <w:shd w:val="clear" w:color="auto" w:fill="FFFFFF"/>
        </w:rPr>
      </w:pPr>
      <w:r w:rsidRPr="00996185">
        <w:rPr>
          <w:rStyle w:val="None"/>
          <w:shd w:val="clear" w:color="auto" w:fill="FFFFFF"/>
        </w:rPr>
        <w:t>Here we perform HT impedance spectroscopic experiments on LiPF</w:t>
      </w:r>
      <w:r w:rsidRPr="00996185">
        <w:rPr>
          <w:rStyle w:val="None"/>
          <w:shd w:val="clear" w:color="auto" w:fill="FFFFFF"/>
          <w:vertAlign w:val="subscript"/>
        </w:rPr>
        <w:t>6</w:t>
      </w:r>
      <w:r w:rsidRPr="00996185">
        <w:rPr>
          <w:rStyle w:val="None"/>
          <w:shd w:val="clear" w:color="auto" w:fill="FFFFFF"/>
        </w:rPr>
        <w:t xml:space="preserve">-based </w:t>
      </w:r>
      <w:r w:rsidRPr="00996185">
        <w:rPr>
          <w:rStyle w:val="None"/>
        </w:rPr>
        <w:t>electrolyte</w:t>
      </w:r>
      <w:r w:rsidRPr="00996185">
        <w:rPr>
          <w:rStyle w:val="None"/>
          <w:shd w:val="clear" w:color="auto" w:fill="FFFFFF"/>
        </w:rPr>
        <w:t xml:space="preserve"> formulations containing EC and EMC as solvent mixture and vinylene carbonate (VC) as functional additive/co-solvent to determine ionic conductivities of resulting electrolyte formulations and develop a data driven model to predict ionic conductivities for variable electrolyte compositions. </w:t>
      </w:r>
      <w:r w:rsidR="003D7E4E" w:rsidRPr="00996185">
        <w:rPr>
          <w:rStyle w:val="None"/>
          <w:shd w:val="clear" w:color="auto" w:fill="FFFFFF"/>
        </w:rPr>
        <w:t xml:space="preserve"> The established </w:t>
      </w:r>
      <w:r w:rsidR="00923B0A" w:rsidRPr="00996185">
        <w:rPr>
          <w:rStyle w:val="None"/>
          <w:shd w:val="clear" w:color="auto" w:fill="FFFFFF"/>
        </w:rPr>
        <w:t>conductivity module</w:t>
      </w:r>
      <w:r w:rsidR="003D7E4E" w:rsidRPr="00996185">
        <w:rPr>
          <w:rStyle w:val="None"/>
          <w:shd w:val="clear" w:color="auto" w:fill="FFFFFF"/>
        </w:rPr>
        <w:t xml:space="preserve"> is quite flexible in nature and can be extended to other liquid-based electrolyte classes including sodium, potassium, magnesium, calcium chemistries </w:t>
      </w:r>
      <w:r w:rsidR="003D7E4E" w:rsidRPr="00996185">
        <w:rPr>
          <w:rStyle w:val="None"/>
          <w:shd w:val="clear" w:color="auto" w:fill="FFFFFF"/>
        </w:rPr>
        <w:lastRenderedPageBreak/>
        <w:t xml:space="preserve">with wide variety of conducting salts, solvents/co-solvents and functional additives. </w:t>
      </w:r>
      <w:r w:rsidRPr="00996185">
        <w:rPr>
          <w:rStyle w:val="None"/>
          <w:shd w:val="clear" w:color="auto" w:fill="FFFFFF"/>
        </w:rPr>
        <w:t>All data are extracted from HT experiments with conducting salt, solvent/co-solvent, additive compositions and temperature as features and ionic conductivity as target quantity. The electrolyte module of the HTE system, developed in-house, is composed of two independent, however well-connected units under a N</w:t>
      </w:r>
      <w:r w:rsidRPr="00996185">
        <w:rPr>
          <w:rStyle w:val="None"/>
          <w:shd w:val="clear" w:color="auto" w:fill="FFFFFF"/>
          <w:vertAlign w:val="subscript"/>
        </w:rPr>
        <w:t>2</w:t>
      </w:r>
      <w:r w:rsidRPr="00996185">
        <w:rPr>
          <w:rStyle w:val="None"/>
          <w:shd w:val="clear" w:color="auto" w:fill="FFFFFF"/>
        </w:rPr>
        <w:t xml:space="preserve"> atmosphere (</w:t>
      </w:r>
      <w:r w:rsidRPr="00996185">
        <w:rPr>
          <w:rStyle w:val="None"/>
          <w:b/>
          <w:bCs/>
          <w:shd w:val="clear" w:color="auto" w:fill="FFFFFF"/>
        </w:rPr>
        <w:t>Figure 1A</w:t>
      </w:r>
      <w:bookmarkStart w:id="0" w:name="_Hlk103260754"/>
      <w:r w:rsidRPr="00996185">
        <w:rPr>
          <w:rStyle w:val="None"/>
          <w:shd w:val="clear" w:color="auto" w:fill="FFFFFF"/>
        </w:rPr>
        <w:t xml:space="preserve">). </w:t>
      </w:r>
      <w:r w:rsidR="003A7364" w:rsidRPr="00996185">
        <w:rPr>
          <w:rStyle w:val="None"/>
          <w:shd w:val="clear" w:color="auto" w:fill="FFFFFF"/>
        </w:rPr>
        <w:t xml:space="preserve">In regard to the electrolyte formulation, all considered electrolyte components have to be manually introduced to the HTS System I through the bridging chamber in which the corresponding containers are being filled up with electrolyte components. From this point, the system, governed by </w:t>
      </w:r>
      <w:bookmarkStart w:id="1" w:name="_Hlk103267102"/>
      <w:r w:rsidR="005E1349" w:rsidRPr="00996185">
        <w:rPr>
          <w:rStyle w:val="None"/>
          <w:b/>
          <w:shd w:val="clear" w:color="auto" w:fill="FFFFFF"/>
        </w:rPr>
        <w:t>L</w:t>
      </w:r>
      <w:r w:rsidR="009F7391" w:rsidRPr="00996185">
        <w:rPr>
          <w:rStyle w:val="None"/>
          <w:shd w:val="clear" w:color="auto" w:fill="FFFFFF"/>
        </w:rPr>
        <w:t xml:space="preserve">aboratory </w:t>
      </w:r>
      <w:r w:rsidR="005E1349" w:rsidRPr="00996185">
        <w:rPr>
          <w:rStyle w:val="None"/>
          <w:b/>
          <w:shd w:val="clear" w:color="auto" w:fill="FFFFFF"/>
        </w:rPr>
        <w:t>I</w:t>
      </w:r>
      <w:r w:rsidR="009F7391" w:rsidRPr="00996185">
        <w:rPr>
          <w:rStyle w:val="None"/>
          <w:shd w:val="clear" w:color="auto" w:fill="FFFFFF"/>
        </w:rPr>
        <w:t xml:space="preserve">nformation </w:t>
      </w:r>
      <w:r w:rsidR="005E1349" w:rsidRPr="00996185">
        <w:rPr>
          <w:rStyle w:val="None"/>
          <w:b/>
          <w:shd w:val="clear" w:color="auto" w:fill="FFFFFF"/>
        </w:rPr>
        <w:t>M</w:t>
      </w:r>
      <w:r w:rsidR="009F7391" w:rsidRPr="00996185">
        <w:rPr>
          <w:rStyle w:val="None"/>
          <w:shd w:val="clear" w:color="auto" w:fill="FFFFFF"/>
        </w:rPr>
        <w:t xml:space="preserve">anagement </w:t>
      </w:r>
      <w:r w:rsidR="005E1349" w:rsidRPr="00996185">
        <w:rPr>
          <w:rStyle w:val="None"/>
          <w:b/>
          <w:shd w:val="clear" w:color="auto" w:fill="FFFFFF"/>
        </w:rPr>
        <w:t>S</w:t>
      </w:r>
      <w:r w:rsidR="009F7391" w:rsidRPr="00996185">
        <w:rPr>
          <w:rStyle w:val="None"/>
          <w:shd w:val="clear" w:color="auto" w:fill="FFFFFF"/>
        </w:rPr>
        <w:t>ystem (</w:t>
      </w:r>
      <w:r w:rsidR="003A7364" w:rsidRPr="00996185">
        <w:rPr>
          <w:rStyle w:val="None"/>
          <w:shd w:val="clear" w:color="auto" w:fill="FFFFFF"/>
        </w:rPr>
        <w:t>LIMS</w:t>
      </w:r>
      <w:r w:rsidR="009F7391" w:rsidRPr="00996185">
        <w:rPr>
          <w:rStyle w:val="None"/>
          <w:shd w:val="clear" w:color="auto" w:fill="FFFFFF"/>
        </w:rPr>
        <w:t>)</w:t>
      </w:r>
      <w:r w:rsidR="003A7364" w:rsidRPr="00996185">
        <w:rPr>
          <w:rStyle w:val="None"/>
          <w:shd w:val="clear" w:color="auto" w:fill="FFFFFF"/>
        </w:rPr>
        <w:t xml:space="preserve">, </w:t>
      </w:r>
      <w:bookmarkEnd w:id="1"/>
      <w:r w:rsidR="003A7364" w:rsidRPr="00996185">
        <w:rPr>
          <w:rStyle w:val="None"/>
          <w:shd w:val="clear" w:color="auto" w:fill="FFFFFF"/>
        </w:rPr>
        <w:t xml:space="preserve">formulates electrolytes </w:t>
      </w:r>
      <w:r w:rsidR="00835C84" w:rsidRPr="00996185">
        <w:rPr>
          <w:rStyle w:val="None"/>
          <w:shd w:val="clear" w:color="auto" w:fill="FFFFFF"/>
        </w:rPr>
        <w:t xml:space="preserve">and consequently fills conductivity cells with corresponding electrolyte formulations </w:t>
      </w:r>
      <w:r w:rsidR="003A7364" w:rsidRPr="00996185">
        <w:rPr>
          <w:rStyle w:val="None"/>
          <w:shd w:val="clear" w:color="auto" w:fill="FFFFFF"/>
        </w:rPr>
        <w:t>in a fully automated way</w:t>
      </w:r>
      <w:bookmarkEnd w:id="0"/>
      <w:r w:rsidR="003A7364" w:rsidRPr="00996185">
        <w:rPr>
          <w:rStyle w:val="None"/>
          <w:shd w:val="clear" w:color="auto" w:fill="FFFFFF"/>
        </w:rPr>
        <w:t xml:space="preserve">. </w:t>
      </w:r>
      <w:r w:rsidRPr="00996185">
        <w:rPr>
          <w:rStyle w:val="None"/>
          <w:shd w:val="clear" w:color="auto" w:fill="FFFFFF"/>
        </w:rPr>
        <w:t xml:space="preserve">After initial programming and filling of the dosing units with electrolyte components, the HTE unit fully automatically conducts fast and systematic formulation of up to 96 different liquid electrolytes per working day. The system is capable of handling a wide variety of lithium conducting salts, solvents/co-solvents and (multi)-functional additives as electrolyte components in solid and </w:t>
      </w:r>
      <w:r w:rsidR="007E7381" w:rsidRPr="00996185">
        <w:rPr>
          <w:rStyle w:val="None"/>
          <w:noProof/>
          <w:lang w:eastAsia="en-US"/>
        </w:rPr>
        <w:drawing>
          <wp:anchor distT="0" distB="0" distL="0" distR="0" simplePos="0" relativeHeight="251659264" behindDoc="0" locked="0" layoutInCell="1" allowOverlap="1" wp14:anchorId="33A87230" wp14:editId="5F07C05D">
            <wp:simplePos x="0" y="0"/>
            <wp:positionH relativeFrom="column">
              <wp:align>left</wp:align>
            </wp:positionH>
            <wp:positionV relativeFrom="line">
              <wp:posOffset>308996</wp:posOffset>
            </wp:positionV>
            <wp:extent cx="6371591" cy="5175885"/>
            <wp:effectExtent l="0" t="0" r="0" b="5715"/>
            <wp:wrapTopAndBottom/>
            <wp:docPr id="5" name="officeArt object" descr="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Grafik 9" descr="Grafik 9"/>
                    <pic:cNvPicPr>
                      <a:picLocks noChangeAspect="1"/>
                    </pic:cNvPicPr>
                  </pic:nvPicPr>
                  <pic:blipFill>
                    <a:blip r:embed="rId8"/>
                    <a:stretch/>
                  </pic:blipFill>
                  <pic:spPr bwMode="auto">
                    <a:xfrm>
                      <a:off x="0" y="0"/>
                      <a:ext cx="6371591" cy="5175885"/>
                    </a:xfrm>
                    <a:prstGeom prst="rect">
                      <a:avLst/>
                    </a:prstGeom>
                    <a:ln w="12700" cap="flat">
                      <a:noFill/>
                      <a:miter lim="400000"/>
                    </a:ln>
                    <a:effectLst/>
                  </pic:spPr>
                </pic:pic>
              </a:graphicData>
            </a:graphic>
          </wp:anchor>
        </w:drawing>
      </w:r>
      <w:r w:rsidR="00835C84" w:rsidRPr="00996185">
        <w:rPr>
          <w:rStyle w:val="None"/>
          <w:shd w:val="clear" w:color="auto" w:fill="FFFFFF"/>
        </w:rPr>
        <w:t xml:space="preserve">liquid form that can be </w:t>
      </w:r>
    </w:p>
    <w:p w14:paraId="59140A91" w14:textId="58DEE3BA" w:rsidR="009F7391" w:rsidRPr="00996185" w:rsidRDefault="00835C84" w:rsidP="001F05BE">
      <w:pPr>
        <w:pStyle w:val="P1"/>
        <w:rPr>
          <w:rStyle w:val="None"/>
          <w:shd w:val="clear" w:color="auto" w:fill="FFFFFF"/>
        </w:rPr>
      </w:pPr>
      <w:r w:rsidRPr="00996185">
        <w:rPr>
          <w:rStyle w:val="None"/>
          <w:shd w:val="clear" w:color="auto" w:fill="FFFFFF"/>
        </w:rPr>
        <w:t>combined with respect to their presence and amount in a considered electrolyte formulation.</w:t>
      </w:r>
    </w:p>
    <w:p w14:paraId="062BB03F" w14:textId="15FD6080" w:rsidR="004A47D4" w:rsidRPr="00996185" w:rsidRDefault="009F7391" w:rsidP="001F05BE">
      <w:pPr>
        <w:pStyle w:val="P1"/>
        <w:rPr>
          <w:rStyle w:val="None"/>
          <w:shd w:val="clear" w:color="auto" w:fill="FFFFFF"/>
        </w:rPr>
        <w:sectPr w:rsidR="004A47D4" w:rsidRPr="00996185">
          <w:type w:val="continuous"/>
          <w:pgSz w:w="11900" w:h="16840"/>
          <w:pgMar w:top="1134" w:right="936" w:bottom="1134" w:left="936" w:header="709" w:footer="0" w:gutter="0"/>
          <w:cols w:num="2" w:space="284"/>
          <w:docGrid w:linePitch="360"/>
        </w:sectPr>
      </w:pPr>
      <w:r w:rsidRPr="00996185">
        <w:rPr>
          <w:rStyle w:val="None"/>
          <w:shd w:val="clear" w:color="auto" w:fill="FFFFFF"/>
        </w:rPr>
        <w:t xml:space="preserve">The robotic platform </w:t>
      </w:r>
      <w:r w:rsidR="00EB2A2E" w:rsidRPr="00996185">
        <w:rPr>
          <w:rStyle w:val="None"/>
          <w:shd w:val="clear" w:color="auto" w:fill="FFFFFF"/>
        </w:rPr>
        <w:t>was developed by combining multiple functionalities to an integrated platform system. It is composed of 21 stations enabling required gravimetric solid and liquid dispensing of selected electrolyte components with high accuracy (0.026% for solids and 0.024% for liquids), vial closing, vial mixing and heating and vial barcode labeling steps within the electrolyte formulation workflow (</w:t>
      </w:r>
      <w:r w:rsidR="00EB2A2E" w:rsidRPr="00996185">
        <w:rPr>
          <w:rStyle w:val="None"/>
          <w:b/>
          <w:bCs/>
          <w:shd w:val="clear" w:color="auto" w:fill="FFFFFF"/>
        </w:rPr>
        <w:t>Figure 1B</w:t>
      </w:r>
      <w:r w:rsidR="00EB2A2E" w:rsidRPr="00996185">
        <w:rPr>
          <w:rStyle w:val="None"/>
          <w:shd w:val="clear" w:color="auto" w:fill="FFFFFF"/>
        </w:rPr>
        <w:t>). A data matrix barcode contains all relevant information regarding the electrolyte composition and components like their amount, supplier, date of formulation and is easily readable by a smartphone app. The end-product is a cyclic olefin polymer vial, crimped with electrolyte resistant needle piercing septum or a screw cap aluminum vial and contains a maximum 10 mL of electrolyte formulation. Within the HTE unit, an automated filling of conductivity cells with electrolyte is performed after optional visual examination of the electrolytes as well. The second unit of the electrolyte module is the bridging chamber, fused for preparation and storage purposes, positioned in the glovebox under N</w:t>
      </w:r>
      <w:r w:rsidR="00EB2A2E" w:rsidRPr="00996185">
        <w:rPr>
          <w:rStyle w:val="None"/>
          <w:shd w:val="clear" w:color="auto" w:fill="FFFFFF"/>
          <w:vertAlign w:val="subscript"/>
        </w:rPr>
        <w:t>2</w:t>
      </w:r>
      <w:r w:rsidR="00EB2A2E" w:rsidRPr="00996185">
        <w:rPr>
          <w:rStyle w:val="None"/>
          <w:shd w:val="clear" w:color="auto" w:fill="FFFFFF"/>
        </w:rPr>
        <w:t xml:space="preserve"> atmosphere.</w:t>
      </w:r>
    </w:p>
    <w:p w14:paraId="5515188F" w14:textId="4B270762" w:rsidR="004A47D4" w:rsidRPr="00996185" w:rsidRDefault="00EB2A2E" w:rsidP="001F05BE">
      <w:pPr>
        <w:pStyle w:val="P1"/>
        <w:spacing w:line="240" w:lineRule="auto"/>
        <w:rPr>
          <w:rStyle w:val="None"/>
          <w:sz w:val="14"/>
          <w:szCs w:val="14"/>
          <w:shd w:val="clear" w:color="auto" w:fill="FFFFFF"/>
        </w:rPr>
      </w:pPr>
      <w:r w:rsidRPr="00996185">
        <w:rPr>
          <w:rStyle w:val="None"/>
          <w:b/>
          <w:bCs/>
          <w:sz w:val="14"/>
          <w:szCs w:val="14"/>
          <w:shd w:val="clear" w:color="auto" w:fill="FFFFFF"/>
        </w:rPr>
        <w:t xml:space="preserve">Figure 1. </w:t>
      </w:r>
      <w:r w:rsidRPr="00996185">
        <w:rPr>
          <w:rStyle w:val="None"/>
          <w:sz w:val="14"/>
          <w:szCs w:val="14"/>
          <w:shd w:val="clear" w:color="auto" w:fill="FFFFFF"/>
        </w:rPr>
        <w:t>A) Electrolyte module featuring a</w:t>
      </w:r>
      <w:r w:rsidR="00517003" w:rsidRPr="00996185">
        <w:rPr>
          <w:rStyle w:val="None"/>
          <w:sz w:val="14"/>
          <w:szCs w:val="14"/>
          <w:shd w:val="clear" w:color="auto" w:fill="FFFFFF"/>
        </w:rPr>
        <w:t xml:space="preserve">n </w:t>
      </w:r>
      <w:r w:rsidRPr="00996185">
        <w:rPr>
          <w:rStyle w:val="None"/>
          <w:sz w:val="14"/>
          <w:szCs w:val="14"/>
          <w:shd w:val="clear" w:color="auto" w:fill="FFFFFF"/>
        </w:rPr>
        <w:t xml:space="preserve">automated HT system for electrolyte formulation and conductivity cell assembly with bridging chamber used for storage and preparation activities. B) Flow chart of </w:t>
      </w:r>
      <w:r w:rsidR="00517003" w:rsidRPr="00996185">
        <w:rPr>
          <w:rStyle w:val="None"/>
          <w:sz w:val="14"/>
          <w:szCs w:val="14"/>
          <w:shd w:val="clear" w:color="auto" w:fill="FFFFFF"/>
        </w:rPr>
        <w:t>an</w:t>
      </w:r>
      <w:r w:rsidRPr="00996185">
        <w:rPr>
          <w:rStyle w:val="None"/>
          <w:sz w:val="14"/>
          <w:szCs w:val="14"/>
          <w:shd w:val="clear" w:color="auto" w:fill="FFFFFF"/>
        </w:rPr>
        <w:t xml:space="preserve"> automated electrolyte formulation to conductivity determination and analysis sequence.</w:t>
      </w:r>
    </w:p>
    <w:p w14:paraId="55345CC5" w14:textId="77777777" w:rsidR="004A47D4" w:rsidRPr="00996185" w:rsidRDefault="004A47D4" w:rsidP="001F05BE">
      <w:pPr>
        <w:pStyle w:val="P1"/>
        <w:rPr>
          <w:rStyle w:val="None"/>
          <w:sz w:val="14"/>
          <w:szCs w:val="14"/>
          <w:shd w:val="clear" w:color="auto" w:fill="FFFFFF"/>
        </w:rPr>
      </w:pPr>
    </w:p>
    <w:p w14:paraId="54D7D4C5" w14:textId="77777777" w:rsidR="004A47D4" w:rsidRPr="00996185" w:rsidRDefault="004A47D4" w:rsidP="001F05BE">
      <w:pPr>
        <w:pStyle w:val="P1"/>
        <w:rPr>
          <w:rStyle w:val="None"/>
          <w:sz w:val="14"/>
          <w:szCs w:val="14"/>
          <w:shd w:val="clear" w:color="auto" w:fill="FFFFFF"/>
        </w:rPr>
      </w:pPr>
    </w:p>
    <w:p w14:paraId="770A7649" w14:textId="77777777" w:rsidR="004A47D4" w:rsidRPr="00996185" w:rsidRDefault="004A47D4" w:rsidP="001F05BE">
      <w:pPr>
        <w:pStyle w:val="P1"/>
        <w:rPr>
          <w:rStyle w:val="None"/>
          <w:sz w:val="14"/>
          <w:szCs w:val="14"/>
          <w:shd w:val="clear" w:color="auto" w:fill="FFFFFF"/>
        </w:rPr>
      </w:pPr>
    </w:p>
    <w:p w14:paraId="6768BDDC" w14:textId="77777777" w:rsidR="004A47D4" w:rsidRPr="00996185" w:rsidRDefault="004A47D4" w:rsidP="001F05BE">
      <w:pPr>
        <w:pStyle w:val="P1"/>
        <w:rPr>
          <w:rStyle w:val="None"/>
          <w:sz w:val="14"/>
          <w:szCs w:val="14"/>
          <w:shd w:val="clear" w:color="auto" w:fill="FFFFFF"/>
        </w:rPr>
      </w:pPr>
    </w:p>
    <w:p w14:paraId="38489E21" w14:textId="77777777" w:rsidR="004A47D4" w:rsidRPr="00996185" w:rsidRDefault="004A47D4" w:rsidP="001F05BE">
      <w:pPr>
        <w:pStyle w:val="P1"/>
        <w:rPr>
          <w:rStyle w:val="None"/>
          <w:sz w:val="14"/>
          <w:szCs w:val="14"/>
          <w:shd w:val="clear" w:color="auto" w:fill="FFFFFF"/>
        </w:rPr>
      </w:pPr>
    </w:p>
    <w:p w14:paraId="54E71F78" w14:textId="77777777" w:rsidR="004A47D4" w:rsidRPr="00996185" w:rsidRDefault="004A47D4" w:rsidP="001F05BE">
      <w:pPr>
        <w:pStyle w:val="P1"/>
        <w:rPr>
          <w:rStyle w:val="None"/>
          <w:sz w:val="14"/>
          <w:szCs w:val="14"/>
          <w:shd w:val="clear" w:color="auto" w:fill="FFFFFF"/>
        </w:rPr>
      </w:pPr>
    </w:p>
    <w:p w14:paraId="41AF235F" w14:textId="77777777" w:rsidR="004A47D4" w:rsidRPr="00996185" w:rsidRDefault="004A47D4" w:rsidP="001F05BE">
      <w:pPr>
        <w:pStyle w:val="P1"/>
        <w:rPr>
          <w:rStyle w:val="None"/>
          <w:sz w:val="14"/>
          <w:szCs w:val="14"/>
          <w:shd w:val="clear" w:color="auto" w:fill="FFFFFF"/>
        </w:rPr>
      </w:pPr>
    </w:p>
    <w:p w14:paraId="76ECD91D" w14:textId="77777777" w:rsidR="004A47D4" w:rsidRPr="00996185" w:rsidRDefault="004A47D4" w:rsidP="001F05BE">
      <w:pPr>
        <w:pStyle w:val="P1"/>
        <w:rPr>
          <w:rStyle w:val="None"/>
          <w:sz w:val="14"/>
          <w:szCs w:val="14"/>
          <w:shd w:val="clear" w:color="auto" w:fill="FFFFFF"/>
        </w:rPr>
      </w:pPr>
    </w:p>
    <w:p w14:paraId="7752130F" w14:textId="77777777" w:rsidR="004A47D4" w:rsidRPr="00996185" w:rsidRDefault="00EB2A2E" w:rsidP="001F05BE">
      <w:pPr>
        <w:pStyle w:val="P1"/>
        <w:rPr>
          <w:rStyle w:val="None"/>
          <w:sz w:val="14"/>
          <w:szCs w:val="14"/>
          <w:shd w:val="clear" w:color="auto" w:fill="FFFFFF"/>
        </w:rPr>
      </w:pPr>
      <w:r w:rsidRPr="00996185">
        <w:rPr>
          <w:rStyle w:val="None"/>
          <w:rFonts w:ascii="Times New Roman" w:eastAsia="Times New Roman" w:hAnsi="Times New Roman" w:cs="Times New Roman"/>
          <w:b/>
          <w:bCs/>
          <w:noProof/>
          <w:shd w:val="clear" w:color="auto" w:fill="FFFFFF"/>
          <w:lang w:eastAsia="en-US"/>
        </w:rPr>
        <mc:AlternateContent>
          <mc:Choice Requires="wpg">
            <w:drawing>
              <wp:anchor distT="0" distB="0" distL="0" distR="0" simplePos="0" relativeHeight="251662336" behindDoc="0" locked="0" layoutInCell="1" allowOverlap="1" wp14:anchorId="64DA318C" wp14:editId="21ABC478">
                <wp:simplePos x="0" y="0"/>
                <wp:positionH relativeFrom="page">
                  <wp:posOffset>593950</wp:posOffset>
                </wp:positionH>
                <wp:positionV relativeFrom="line">
                  <wp:posOffset>478</wp:posOffset>
                </wp:positionV>
                <wp:extent cx="6372000" cy="4787514"/>
                <wp:effectExtent l="0" t="0" r="0" b="0"/>
                <wp:wrapTopAndBottom/>
                <wp:docPr id="6" name="officeArt object" descr="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Grafik 5" descr="Grafik 5"/>
                        <pic:cNvPicPr>
                          <a:picLocks noChangeAspect="1"/>
                        </pic:cNvPicPr>
                      </pic:nvPicPr>
                      <pic:blipFill>
                        <a:blip r:embed="rId9"/>
                        <a:stretch/>
                      </pic:blipFill>
                      <pic:spPr bwMode="auto">
                        <a:xfrm>
                          <a:off x="0" y="0"/>
                          <a:ext cx="6372000" cy="4787514"/>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0.0pt;mso-wrap-distance-top:0.0pt;mso-wrap-distance-right:0.0pt;mso-wrap-distance-bottom:0.0pt;z-index:251662336;o:allowoverlap:true;o:allowincell:true;mso-position-horizontal-relative:page;margin-left:46.8pt;mso-position-horizontal:absolute;mso-position-vertical-relative:line;margin-top:0.0pt;mso-position-vertical:absolute;width:501.7pt;height:377.0pt;" stroked="f" strokeweight="1.00pt">
                <v:path textboxrect="0,0,0,0"/>
                <v:imagedata r:id="rId19" o:title=""/>
              </v:shape>
            </w:pict>
          </mc:Fallback>
        </mc:AlternateContent>
      </w:r>
      <w:r w:rsidRPr="00996185">
        <w:rPr>
          <w:rStyle w:val="None"/>
          <w:b/>
          <w:bCs/>
          <w:sz w:val="14"/>
          <w:szCs w:val="14"/>
          <w:shd w:val="clear" w:color="auto" w:fill="FFFFFF"/>
        </w:rPr>
        <w:t>Figure 2:</w:t>
      </w:r>
      <w:r w:rsidRPr="00996185">
        <w:rPr>
          <w:rStyle w:val="None"/>
          <w:sz w:val="14"/>
          <w:szCs w:val="14"/>
          <w:shd w:val="clear" w:color="auto" w:fill="FFFFFF"/>
        </w:rPr>
        <w:t xml:space="preserve"> A) Conductivity module comprising: a) in-house developed coaxial impedance electrode and Eppendorf tube b) small rack containing 8 electrodes c) big rack with 24 conductivity cells and d) potentiostat/galvanostat with 8 x 12-channel multiplexer and temperature chamber. B) Schematic overview of the LIMS-modules interaction workflow. </w:t>
      </w:r>
    </w:p>
    <w:p w14:paraId="22B22B73" w14:textId="77777777" w:rsidR="004A47D4" w:rsidRPr="00996185" w:rsidRDefault="004A47D4" w:rsidP="001F05BE">
      <w:pPr>
        <w:pStyle w:val="P1"/>
        <w:rPr>
          <w:rStyle w:val="None"/>
          <w:shd w:val="clear" w:color="auto" w:fill="FFFFFF"/>
        </w:rPr>
      </w:pPr>
    </w:p>
    <w:p w14:paraId="28399E24" w14:textId="77777777" w:rsidR="004A47D4" w:rsidRPr="00996185" w:rsidRDefault="004A47D4" w:rsidP="001F05BE">
      <w:pPr>
        <w:pStyle w:val="P1"/>
        <w:rPr>
          <w:rStyle w:val="None"/>
          <w:shd w:val="clear" w:color="auto" w:fill="FFFFFF"/>
        </w:rPr>
        <w:sectPr w:rsidR="004A47D4" w:rsidRPr="00996185">
          <w:type w:val="continuous"/>
          <w:pgSz w:w="11900" w:h="16840"/>
          <w:pgMar w:top="1134" w:right="936" w:bottom="1134" w:left="936" w:header="709" w:footer="0" w:gutter="0"/>
          <w:cols w:space="1701"/>
          <w:docGrid w:linePitch="360"/>
        </w:sectPr>
      </w:pPr>
    </w:p>
    <w:p w14:paraId="457489DE" w14:textId="50FA29C7" w:rsidR="004A47D4" w:rsidRPr="00996185" w:rsidRDefault="00EB2A2E" w:rsidP="001F05BE">
      <w:pPr>
        <w:pStyle w:val="P1"/>
        <w:rPr>
          <w:rStyle w:val="None"/>
          <w:shd w:val="clear" w:color="auto" w:fill="FFFFFF"/>
        </w:rPr>
      </w:pPr>
      <w:r w:rsidRPr="00996185">
        <w:rPr>
          <w:rStyle w:val="None"/>
          <w:shd w:val="clear" w:color="auto" w:fill="FFFFFF"/>
        </w:rPr>
        <w:t>For the electrolyte conductivity determination by means of electrochemical impedance spectroscopy (EIS), a conductivity module consisting of 96 measuring cells was developed. Considered electrolyte formulations were dispensed into disposable Eppendorf Safe-Lock Tubes in small sample quantities (750 µL) by the HTE robotic system in the glovebox under N</w:t>
      </w:r>
      <w:r w:rsidRPr="00996185">
        <w:rPr>
          <w:rStyle w:val="None"/>
          <w:shd w:val="clear" w:color="auto" w:fill="FFFFFF"/>
          <w:vertAlign w:val="subscript"/>
        </w:rPr>
        <w:t>2</w:t>
      </w:r>
      <w:r w:rsidRPr="00996185">
        <w:rPr>
          <w:rStyle w:val="None"/>
          <w:shd w:val="clear" w:color="auto" w:fill="FFFFFF"/>
        </w:rPr>
        <w:t xml:space="preserve"> atmosphere. In-house developed electrodes were thereafter immersed in the electrolytes (</w:t>
      </w:r>
      <w:r w:rsidRPr="00996185">
        <w:rPr>
          <w:rStyle w:val="None"/>
          <w:b/>
          <w:bCs/>
          <w:shd w:val="clear" w:color="auto" w:fill="FFFFFF"/>
        </w:rPr>
        <w:t>Figure 2A(a)</w:t>
      </w:r>
      <w:r w:rsidRPr="00996185">
        <w:rPr>
          <w:rStyle w:val="None"/>
          <w:shd w:val="clear" w:color="auto" w:fill="FFFFFF"/>
        </w:rPr>
        <w:t>). These electrodes as measuring probes deliver reproducible results regardless of the immersion depth in the electrolyte or the sample container geometry in the impedance measurements.</w:t>
      </w:r>
      <w:r w:rsidR="007E7381" w:rsidRPr="00996185">
        <w:rPr>
          <w:rStyle w:val="None"/>
          <w:vertAlign w:val="superscript"/>
        </w:rPr>
        <w:fldChar w:fldCharType="begin"/>
      </w:r>
      <w:r w:rsidR="00147125" w:rsidRPr="00996185">
        <w:rPr>
          <w:rStyle w:val="None"/>
          <w:vertAlign w:val="superscript"/>
        </w:rPr>
        <w:instrText xml:space="preserve"> ADDIN ZOTERO_ITEM CSL_CITATION {"citationID":"O0jjU7L4","properties":{"formattedCitation":"\\super [34]\\nosupersub{}","plainCitation":"[34]","noteIndex":0},"citationItems":[{"id":961,"uris":["http://zotero.org/users/8284002/items/VKLRD66B"],"itemData":{"id":961,"type":"patent","abstract":"The invention relates to a device and a method for a micro electrode\nliquid measurement cell (MDE) for cyclic voltammetry, impedance measurement, and/or\ngravimetric measurement, comprising a sample Container and at least two electrodes, on\nvery small electrolyte amounts under protective-gas conditions. The electrodes are\nspaced from each other and are embedded in a matrix in an axially parallel manner. The\nreference electrode is preferably made of metallic lithium in order to perform\nelectrochemical stability tests on electrodes with respect to an electrolyte suitable for\nlithium ion batteries.","language":"German","number":"WO 2014/139494 A1","title":"MICRO ELECTRODE LIQUID MEASUREMENT CELL","URL":"https://patentimages.storage.googleapis.com/3e/a1/51/986d0461d8aa7b/WO2014139494A1.pdf","author":[{"literal":"Hans-Dieter Wiemhöfer"},{"literal":"Mariano Grünebaum"},{"literal":"Martin Manuel Hiller"}],"issued":{"date-parts":[["2014",9,18]]},"submitted":{"date-parts":[["2014",2,28]]}}}],"schema":"https://github.com/citation-style-language/schema/raw/master/csl-citation.json"} </w:instrText>
      </w:r>
      <w:r w:rsidR="007E7381" w:rsidRPr="00996185">
        <w:rPr>
          <w:rStyle w:val="None"/>
          <w:vertAlign w:val="superscript"/>
        </w:rPr>
        <w:fldChar w:fldCharType="separate"/>
      </w:r>
      <w:r w:rsidR="00147125" w:rsidRPr="00996185">
        <w:rPr>
          <w:rFonts w:cs="Arial"/>
          <w:szCs w:val="24"/>
          <w:vertAlign w:val="superscript"/>
        </w:rPr>
        <w:t>[34]</w:t>
      </w:r>
      <w:r w:rsidR="007E7381" w:rsidRPr="00996185">
        <w:rPr>
          <w:rStyle w:val="None"/>
          <w:vertAlign w:val="superscript"/>
        </w:rPr>
        <w:fldChar w:fldCharType="end"/>
      </w:r>
      <w:r w:rsidRPr="00996185">
        <w:rPr>
          <w:rStyle w:val="None"/>
          <w:shd w:val="clear" w:color="auto" w:fill="FFFFFF"/>
        </w:rPr>
        <w:t xml:space="preserve"> Eight conductivity cells were placed on a small rack (</w:t>
      </w:r>
      <w:r w:rsidRPr="00996185">
        <w:rPr>
          <w:rStyle w:val="None"/>
          <w:b/>
          <w:bCs/>
          <w:shd w:val="clear" w:color="auto" w:fill="FFFFFF"/>
        </w:rPr>
        <w:t>Figure 2A(b)</w:t>
      </w:r>
      <w:r w:rsidRPr="00996185">
        <w:rPr>
          <w:rStyle w:val="None"/>
          <w:shd w:val="clear" w:color="auto" w:fill="FFFFFF"/>
        </w:rPr>
        <w:t>) and three of the small racks were positioned on a big rack (</w:t>
      </w:r>
      <w:r w:rsidRPr="00996185">
        <w:rPr>
          <w:rStyle w:val="None"/>
          <w:b/>
          <w:bCs/>
          <w:shd w:val="clear" w:color="auto" w:fill="FFFFFF"/>
        </w:rPr>
        <w:t>Figure 2A(c)</w:t>
      </w:r>
      <w:r w:rsidRPr="00996185">
        <w:rPr>
          <w:rStyle w:val="None"/>
          <w:shd w:val="clear" w:color="auto" w:fill="FFFFFF"/>
        </w:rPr>
        <w:t>) for a total of 24 conductivity cells per big rack. Four big racks resulted in a total of 96 conductivity cells. To obtain the data on the internal resistance and conductivity of the electrolyte formulations, a Metrohm Autolab potentiostat/galvanostat with 8 x 12-channel multiplexer was used. The multiplexer, based on a particularly powerful single-board micro-controller, is capable of multiplexing each of the 12 potentiostat/galvanostat channels 8-fold, thus resulting in 96 controllable channels (</w:t>
      </w:r>
      <w:r w:rsidRPr="00996185">
        <w:rPr>
          <w:rStyle w:val="None"/>
          <w:b/>
          <w:bCs/>
          <w:shd w:val="clear" w:color="auto" w:fill="FFFFFF"/>
        </w:rPr>
        <w:t>Figure 2A(d)</w:t>
      </w:r>
      <w:r w:rsidRPr="00996185">
        <w:rPr>
          <w:rStyle w:val="None"/>
          <w:shd w:val="clear" w:color="auto" w:fill="FFFFFF"/>
        </w:rPr>
        <w:t xml:space="preserve">). </w:t>
      </w:r>
      <w:bookmarkStart w:id="2" w:name="_Hlk103260788"/>
      <w:r w:rsidRPr="00996185">
        <w:rPr>
          <w:rStyle w:val="None"/>
          <w:shd w:val="clear" w:color="auto" w:fill="FFFFFF"/>
        </w:rPr>
        <w:t>The assembled conductivity cells</w:t>
      </w:r>
      <w:r w:rsidR="00B61DFA" w:rsidRPr="00996185">
        <w:t xml:space="preserve"> </w:t>
      </w:r>
      <w:r w:rsidR="00B61DFA" w:rsidRPr="00996185">
        <w:rPr>
          <w:rStyle w:val="None"/>
          <w:shd w:val="clear" w:color="auto" w:fill="FFFFFF"/>
        </w:rPr>
        <w:t>have to be manually taken out of the HTS System I and placed in the climate chamber</w:t>
      </w:r>
      <w:r w:rsidRPr="00996185">
        <w:rPr>
          <w:rStyle w:val="None"/>
          <w:shd w:val="clear" w:color="auto" w:fill="FFFFFF"/>
        </w:rPr>
        <w:t xml:space="preserve"> with a 2-hour equilibration period for any given temperature prior to each measurement</w:t>
      </w:r>
      <w:bookmarkEnd w:id="2"/>
      <w:r w:rsidRPr="00996185">
        <w:rPr>
          <w:rStyle w:val="None"/>
          <w:shd w:val="clear" w:color="auto" w:fill="FFFFFF"/>
        </w:rPr>
        <w:t xml:space="preserve">. Measurements were conducted in the temperature </w:t>
      </w:r>
      <w:r w:rsidRPr="00996185">
        <w:rPr>
          <w:rStyle w:val="None"/>
          <w:shd w:val="clear" w:color="auto" w:fill="FFFFFF"/>
        </w:rPr>
        <w:t>range from 0 °C to 60</w:t>
      </w:r>
      <w:r w:rsidRPr="00996185">
        <w:rPr>
          <w:rStyle w:val="None"/>
        </w:rPr>
        <w:t> </w:t>
      </w:r>
      <w:r w:rsidRPr="00996185">
        <w:rPr>
          <w:rStyle w:val="None"/>
          <w:shd w:val="clear" w:color="auto" w:fill="FFFFFF"/>
        </w:rPr>
        <w:t>°C in 10 °C increments. Once the potentiostat is connected to the conductivity cells and programmed with a temperature sequence by the operator, the setup requires no further user input.</w:t>
      </w:r>
    </w:p>
    <w:p w14:paraId="22D9EBBB" w14:textId="35140B21" w:rsidR="004A47D4" w:rsidRPr="00996185" w:rsidRDefault="00EB2A2E" w:rsidP="001F05BE">
      <w:pPr>
        <w:pStyle w:val="P1"/>
        <w:rPr>
          <w:rStyle w:val="None"/>
          <w:shd w:val="clear" w:color="auto" w:fill="FFFFFF"/>
        </w:rPr>
      </w:pPr>
      <w:r w:rsidRPr="00996185">
        <w:rPr>
          <w:rStyle w:val="None"/>
          <w:shd w:val="clear" w:color="auto" w:fill="FFFFFF"/>
        </w:rPr>
        <w:t xml:space="preserve">Both electrolyte formulation and conductivity modules of the HTE facility are operated independently by a customized instance of the LIMS adjusted to the specific system by the Quality Systems International (QSI) GmbH. The value chain, governed by the LIMS, is depicted in </w:t>
      </w:r>
      <w:r w:rsidRPr="00996185">
        <w:rPr>
          <w:rStyle w:val="None"/>
          <w:b/>
          <w:bCs/>
          <w:shd w:val="clear" w:color="auto" w:fill="FFFFFF"/>
        </w:rPr>
        <w:t>Figure 2B</w:t>
      </w:r>
      <w:r w:rsidRPr="00996185">
        <w:rPr>
          <w:rStyle w:val="None"/>
          <w:shd w:val="clear" w:color="auto" w:fill="FFFFFF"/>
        </w:rPr>
        <w:t>. As the system’s central entity, this software, flexible in nature, also serves as a material and data archive that ensures data provenance and enables backtracking of experiments. Materials data include specific identifiers (supplier, batch number, purity etc.) whereas experimental data consists of test protocols and relevant experimental parameters such as temperature. Besides saving the raw experimental data, the system is capable of processing the raw results and bundling them with relevant metadata (relevant details on the used electrolyte) into a machine-readable output format in order to provide users with all available information on a given experiment.</w:t>
      </w:r>
    </w:p>
    <w:p w14:paraId="1D3535DC" w14:textId="77777777" w:rsidR="004A47D4" w:rsidRPr="00996185" w:rsidRDefault="00EB2A2E" w:rsidP="001F05BE">
      <w:pPr>
        <w:pStyle w:val="P1"/>
        <w:rPr>
          <w:rStyle w:val="None"/>
          <w:shd w:val="clear" w:color="auto" w:fill="FFFFFF"/>
        </w:rPr>
      </w:pPr>
      <w:r w:rsidRPr="00996185">
        <w:rPr>
          <w:rStyle w:val="None"/>
          <w:shd w:val="clear" w:color="auto" w:fill="FFFFFF"/>
        </w:rPr>
        <w:t>For the experiments reported in this work, the applied EC to EMC ratios were 3:7, 3:2 and 3:1 by weight with a VC content between 0 and 30 wt% with respect to EC and EMC. At the same time, the concentration of LiPF</w:t>
      </w:r>
      <w:r w:rsidRPr="00996185">
        <w:rPr>
          <w:rStyle w:val="None"/>
          <w:shd w:val="clear" w:color="auto" w:fill="FFFFFF"/>
          <w:vertAlign w:val="subscript"/>
        </w:rPr>
        <w:t>6</w:t>
      </w:r>
      <w:r w:rsidRPr="00996185">
        <w:rPr>
          <w:rStyle w:val="None"/>
          <w:shd w:val="clear" w:color="auto" w:fill="FFFFFF"/>
        </w:rPr>
        <w:t xml:space="preserve"> was varied between 0.2 and 2.3 mol/kg. Exact amounts of all components for each electrolyte formulation can be found in the supporting information (SI - Table S1 and </w:t>
      </w:r>
      <w:r w:rsidRPr="00996185">
        <w:rPr>
          <w:rStyle w:val="None"/>
          <w:shd w:val="clear" w:color="auto" w:fill="FFFFFF"/>
        </w:rPr>
        <w:lastRenderedPageBreak/>
        <w:t>Table S2). Considering 7 different temperatures and repetition of each measurement for at least 3 times in respect to reproducibility for each electrolyte formulation, the total number of experimentally obtained data points amounted to 1200.</w:t>
      </w:r>
    </w:p>
    <w:p w14:paraId="1D5FF2FE" w14:textId="77777777" w:rsidR="004A47D4" w:rsidRPr="00996185" w:rsidRDefault="004A47D4" w:rsidP="001F05BE">
      <w:pPr>
        <w:pStyle w:val="P1"/>
        <w:rPr>
          <w:rStyle w:val="None"/>
          <w:shd w:val="clear" w:color="auto" w:fill="FFFFFF"/>
        </w:rPr>
      </w:pPr>
    </w:p>
    <w:p w14:paraId="04F9CB5A" w14:textId="256209F2" w:rsidR="004A47D4" w:rsidRPr="00996185" w:rsidRDefault="00EB2A2E" w:rsidP="001F05BE">
      <w:pPr>
        <w:pStyle w:val="P1"/>
        <w:rPr>
          <w:rStyle w:val="None"/>
          <w:shd w:val="clear" w:color="auto" w:fill="FFFFFF"/>
        </w:rPr>
      </w:pPr>
      <w:r w:rsidRPr="00996185">
        <w:rPr>
          <w:rStyle w:val="None"/>
          <w:shd w:val="clear" w:color="auto" w:fill="FFFFFF"/>
        </w:rPr>
        <w:t xml:space="preserve">For data analysis, a molar description of the electrolyte </w:t>
      </w:r>
      <w:r w:rsidRPr="00996185">
        <w:rPr>
          <w:rStyle w:val="None"/>
          <w:i/>
          <w:iCs/>
          <w:shd w:val="clear" w:color="auto" w:fill="FFFFFF"/>
        </w:rPr>
        <w:t>via</w:t>
      </w:r>
      <w:r w:rsidRPr="00996185">
        <w:rPr>
          <w:rStyle w:val="None"/>
          <w:shd w:val="clear" w:color="auto" w:fill="FFFFFF"/>
        </w:rPr>
        <w:t xml:space="preserve"> x</w:t>
      </w:r>
      <w:r w:rsidRPr="00996185">
        <w:rPr>
          <w:rStyle w:val="None"/>
          <w:shd w:val="clear" w:color="auto" w:fill="FFFFFF"/>
          <w:vertAlign w:val="subscript"/>
        </w:rPr>
        <w:t xml:space="preserve">LiPF6 </w:t>
      </w:r>
      <w:r w:rsidRPr="00996185">
        <w:rPr>
          <w:rStyle w:val="None"/>
          <w:shd w:val="clear" w:color="auto" w:fill="FFFFFF"/>
        </w:rPr>
        <w:t>LiPF</w:t>
      </w:r>
      <w:r w:rsidRPr="00996185">
        <w:rPr>
          <w:rStyle w:val="None"/>
          <w:shd w:val="clear" w:color="auto" w:fill="FFFFFF"/>
          <w:vertAlign w:val="subscript"/>
        </w:rPr>
        <w:t>6</w:t>
      </w:r>
      <w:r w:rsidRPr="00996185">
        <w:rPr>
          <w:rStyle w:val="None"/>
          <w:shd w:val="clear" w:color="auto" w:fill="FFFFFF"/>
        </w:rPr>
        <w:t xml:space="preserve"> ∙ (1 – x</w:t>
      </w:r>
      <w:r w:rsidRPr="00996185">
        <w:rPr>
          <w:rStyle w:val="None"/>
          <w:shd w:val="clear" w:color="auto" w:fill="FFFFFF"/>
          <w:vertAlign w:val="subscript"/>
        </w:rPr>
        <w:t>LiPF6</w:t>
      </w:r>
      <w:r w:rsidRPr="00996185">
        <w:rPr>
          <w:rStyle w:val="None"/>
          <w:shd w:val="clear" w:color="auto" w:fill="FFFFFF"/>
        </w:rPr>
        <w:t>)[x</w:t>
      </w:r>
      <w:r w:rsidRPr="00996185">
        <w:rPr>
          <w:rStyle w:val="None"/>
          <w:shd w:val="clear" w:color="auto" w:fill="FFFFFF"/>
          <w:vertAlign w:val="subscript"/>
        </w:rPr>
        <w:t>VC</w:t>
      </w:r>
      <w:r w:rsidRPr="00996185">
        <w:rPr>
          <w:rStyle w:val="None"/>
          <w:shd w:val="clear" w:color="auto" w:fill="FFFFFF"/>
        </w:rPr>
        <w:t xml:space="preserve"> VC ∙ (1 – x</w:t>
      </w:r>
      <w:r w:rsidRPr="00996185">
        <w:rPr>
          <w:rStyle w:val="None"/>
          <w:shd w:val="clear" w:color="auto" w:fill="FFFFFF"/>
          <w:vertAlign w:val="subscript"/>
        </w:rPr>
        <w:t>VC</w:t>
      </w:r>
      <w:r w:rsidRPr="00996185">
        <w:rPr>
          <w:rStyle w:val="None"/>
          <w:shd w:val="clear" w:color="auto" w:fill="FFFFFF"/>
        </w:rPr>
        <w:t>) [x</w:t>
      </w:r>
      <w:r w:rsidRPr="00996185">
        <w:rPr>
          <w:rStyle w:val="None"/>
          <w:shd w:val="clear" w:color="auto" w:fill="FFFFFF"/>
          <w:vertAlign w:val="subscript"/>
        </w:rPr>
        <w:t>EC</w:t>
      </w:r>
      <w:r w:rsidRPr="00996185">
        <w:rPr>
          <w:rStyle w:val="None"/>
          <w:shd w:val="clear" w:color="auto" w:fill="FFFFFF"/>
        </w:rPr>
        <w:t xml:space="preserve"> EC ∙ (1 – x</w:t>
      </w:r>
      <w:r w:rsidRPr="00996185">
        <w:rPr>
          <w:rStyle w:val="None"/>
          <w:shd w:val="clear" w:color="auto" w:fill="FFFFFF"/>
          <w:vertAlign w:val="subscript"/>
        </w:rPr>
        <w:t>EC</w:t>
      </w:r>
      <w:r w:rsidRPr="00996185">
        <w:rPr>
          <w:rStyle w:val="None"/>
          <w:shd w:val="clear" w:color="auto" w:fill="FFFFFF"/>
        </w:rPr>
        <w:t>) EMC]] was used. In this representation, the EC/EMC ratio does not change under variation of the VC content, x</w:t>
      </w:r>
      <w:r w:rsidRPr="00996185">
        <w:rPr>
          <w:rStyle w:val="None"/>
          <w:shd w:val="clear" w:color="auto" w:fill="FFFFFF"/>
          <w:vertAlign w:val="subscript"/>
        </w:rPr>
        <w:t>VC</w:t>
      </w:r>
      <w:r w:rsidRPr="00996185">
        <w:rPr>
          <w:rStyle w:val="None"/>
          <w:shd w:val="clear" w:color="auto" w:fill="FFFFFF"/>
        </w:rPr>
        <w:t>. The ranges were chosen to cover a broad section of the composition space where feasible electrolyte formulations can be expected (i. e. homogeneous solutions). However, in some formulations with high EC and LiPF</w:t>
      </w:r>
      <w:r w:rsidRPr="00996185">
        <w:rPr>
          <w:rStyle w:val="None"/>
          <w:shd w:val="clear" w:color="auto" w:fill="FFFFFF"/>
          <w:vertAlign w:val="subscript"/>
        </w:rPr>
        <w:t>6</w:t>
      </w:r>
      <w:r w:rsidRPr="00996185">
        <w:rPr>
          <w:rStyle w:val="None"/>
          <w:shd w:val="clear" w:color="auto" w:fill="FFFFFF"/>
        </w:rPr>
        <w:t xml:space="preserve"> content, crystal formation occurred, rendering these formulations unusable (see Figures S</w:t>
      </w:r>
      <w:r w:rsidR="003E188C" w:rsidRPr="00996185">
        <w:rPr>
          <w:rStyle w:val="None"/>
          <w:shd w:val="clear" w:color="auto" w:fill="FFFFFF"/>
        </w:rPr>
        <w:t>3</w:t>
      </w:r>
      <w:r w:rsidRPr="00996185">
        <w:rPr>
          <w:rStyle w:val="None"/>
          <w:shd w:val="clear" w:color="auto" w:fill="FFFFFF"/>
        </w:rPr>
        <w:t>-S</w:t>
      </w:r>
      <w:r w:rsidR="004E2CFB" w:rsidRPr="00996185">
        <w:rPr>
          <w:rStyle w:val="None"/>
          <w:shd w:val="clear" w:color="auto" w:fill="FFFFFF"/>
        </w:rPr>
        <w:t>7)</w:t>
      </w:r>
      <w:r w:rsidRPr="00996185">
        <w:rPr>
          <w:rStyle w:val="None"/>
          <w:shd w:val="clear" w:color="auto" w:fill="FFFFFF"/>
        </w:rPr>
        <w:t>. NMR analysis revealed that the crystals taken from one of the formulations only consist of LiPF</w:t>
      </w:r>
      <w:r w:rsidRPr="00996185">
        <w:rPr>
          <w:rStyle w:val="None"/>
          <w:shd w:val="clear" w:color="auto" w:fill="FFFFFF"/>
          <w:vertAlign w:val="subscript"/>
        </w:rPr>
        <w:t>6</w:t>
      </w:r>
      <w:r w:rsidRPr="00996185">
        <w:rPr>
          <w:rStyle w:val="None"/>
          <w:shd w:val="clear" w:color="auto" w:fill="FFFFFF"/>
        </w:rPr>
        <w:t xml:space="preserve"> and EC, implying that the crystallizing compound is likely Li(EC)</w:t>
      </w:r>
      <w:r w:rsidRPr="00996185">
        <w:rPr>
          <w:rStyle w:val="None"/>
          <w:shd w:val="clear" w:color="auto" w:fill="FFFFFF"/>
          <w:vertAlign w:val="subscript"/>
        </w:rPr>
        <w:t>4</w:t>
      </w:r>
      <w:r w:rsidRPr="00996185">
        <w:rPr>
          <w:rStyle w:val="None"/>
          <w:shd w:val="clear" w:color="auto" w:fill="FFFFFF"/>
        </w:rPr>
        <w:t>PF</w:t>
      </w:r>
      <w:r w:rsidRPr="00996185">
        <w:rPr>
          <w:rStyle w:val="None"/>
          <w:shd w:val="clear" w:color="auto" w:fill="FFFFFF"/>
          <w:vertAlign w:val="subscript"/>
        </w:rPr>
        <w:t>6</w:t>
      </w:r>
      <w:r w:rsidRPr="00996185">
        <w:rPr>
          <w:rStyle w:val="None"/>
          <w:shd w:val="clear" w:color="auto" w:fill="FFFFFF"/>
        </w:rPr>
        <w:t>.</w:t>
      </w:r>
      <w:r w:rsidR="007E7381" w:rsidRPr="00996185">
        <w:rPr>
          <w:rStyle w:val="None"/>
          <w:vertAlign w:val="superscript"/>
        </w:rPr>
        <w:fldChar w:fldCharType="begin"/>
      </w:r>
      <w:r w:rsidR="00147125" w:rsidRPr="00996185">
        <w:rPr>
          <w:rStyle w:val="None"/>
          <w:vertAlign w:val="superscript"/>
        </w:rPr>
        <w:instrText xml:space="preserve"> ADDIN ZOTERO_ITEM CSL_CITATION {"citationID":"gpT96rXn","properties":{"formattedCitation":"\\super [35]\\nosupersub{}","plainCitation":"[35]","noteIndex":0},"citationItems":[{"id":1752,"uris":["http://zotero.org/users/8284002/items/9BP34U4E"],"itemData":{"id":1752,"type":"article-journal","DOI":"10.5517/cc86mdg","title":"CCDC 244695: Experimental Crystal Structure Determination","author":[{"family":"Zavalij","given":"P. Y."},{"family":"Yang","given":"Shoufeng"},{"family":"Wittingham","given":"M. S."}],"issued":{"date-parts":[["2005"]]}}}],"schema":"https://github.com/citation-style-language/schema/raw/master/csl-citation.json"} </w:instrText>
      </w:r>
      <w:r w:rsidR="007E7381" w:rsidRPr="00996185">
        <w:rPr>
          <w:rStyle w:val="None"/>
          <w:vertAlign w:val="superscript"/>
        </w:rPr>
        <w:fldChar w:fldCharType="separate"/>
      </w:r>
      <w:r w:rsidR="00147125" w:rsidRPr="00996185">
        <w:rPr>
          <w:rFonts w:cs="Arial"/>
          <w:szCs w:val="24"/>
          <w:vertAlign w:val="superscript"/>
        </w:rPr>
        <w:t>[35]</w:t>
      </w:r>
      <w:r w:rsidR="007E7381" w:rsidRPr="00996185">
        <w:rPr>
          <w:rStyle w:val="None"/>
          <w:vertAlign w:val="superscript"/>
        </w:rPr>
        <w:fldChar w:fldCharType="end"/>
      </w:r>
      <w:r w:rsidRPr="00996185">
        <w:rPr>
          <w:rStyle w:val="None"/>
          <w:shd w:val="clear" w:color="auto" w:fill="FFFFFF"/>
        </w:rPr>
        <w:t xml:space="preserve"> Some electrolyte formulations with low LiPF</w:t>
      </w:r>
      <w:r w:rsidRPr="00996185">
        <w:rPr>
          <w:rStyle w:val="None"/>
          <w:shd w:val="clear" w:color="auto" w:fill="FFFFFF"/>
          <w:vertAlign w:val="subscript"/>
        </w:rPr>
        <w:t>6</w:t>
      </w:r>
      <w:r w:rsidRPr="00996185">
        <w:rPr>
          <w:rStyle w:val="None"/>
          <w:shd w:val="clear" w:color="auto" w:fill="FFFFFF"/>
        </w:rPr>
        <w:t xml:space="preserve"> and high EC content showed anomalous conductivity values at low temperatures, indicating freezing of EC (see Figure S5).</w:t>
      </w:r>
    </w:p>
    <w:p w14:paraId="7DFADD56" w14:textId="77777777" w:rsidR="004A47D4" w:rsidRPr="00996185" w:rsidRDefault="00EB2A2E" w:rsidP="001F05BE">
      <w:pPr>
        <w:pStyle w:val="P1"/>
        <w:rPr>
          <w:rStyle w:val="None"/>
          <w:shd w:val="clear" w:color="auto" w:fill="FFFFFF"/>
        </w:rPr>
      </w:pPr>
      <w:r w:rsidRPr="00996185">
        <w:rPr>
          <w:rStyle w:val="None"/>
          <w:shd w:val="clear" w:color="auto" w:fill="FFFFFF"/>
        </w:rPr>
        <w:t>To provide a deeper understanding of HT datasets, conductivities are transformed according to the generalized Arrhenius fit (X = (x</w:t>
      </w:r>
      <w:r w:rsidRPr="00996185">
        <w:rPr>
          <w:rStyle w:val="None"/>
          <w:shd w:val="clear" w:color="auto" w:fill="FFFFFF"/>
          <w:vertAlign w:val="subscript"/>
        </w:rPr>
        <w:t>LiPF6</w:t>
      </w:r>
      <w:r w:rsidRPr="00996185">
        <w:rPr>
          <w:rStyle w:val="None"/>
          <w:shd w:val="clear" w:color="auto" w:fill="FFFFFF"/>
        </w:rPr>
        <w:t>, x</w:t>
      </w:r>
      <w:r w:rsidRPr="00996185">
        <w:rPr>
          <w:rStyle w:val="None"/>
          <w:shd w:val="clear" w:color="auto" w:fill="FFFFFF"/>
          <w:vertAlign w:val="subscript"/>
        </w:rPr>
        <w:t>VC</w:t>
      </w:r>
      <w:r w:rsidRPr="00996185">
        <w:rPr>
          <w:rStyle w:val="None"/>
          <w:shd w:val="clear" w:color="auto" w:fill="FFFFFF"/>
        </w:rPr>
        <w:t>, x</w:t>
      </w:r>
      <w:r w:rsidRPr="00996185">
        <w:rPr>
          <w:rStyle w:val="None"/>
          <w:shd w:val="clear" w:color="auto" w:fill="FFFFFF"/>
          <w:vertAlign w:val="subscript"/>
        </w:rPr>
        <w:t>EC</w:t>
      </w:r>
      <w:r w:rsidRPr="00996185">
        <w:rPr>
          <w:rStyle w:val="None"/>
          <w:shd w:val="clear" w:color="auto" w:fill="FFFFFF"/>
        </w:rPr>
        <w:t>)):</w:t>
      </w:r>
    </w:p>
    <w:p w14:paraId="1C0A1B70" w14:textId="77777777" w:rsidR="004A47D4" w:rsidRPr="00996185" w:rsidRDefault="004A47D4" w:rsidP="001F05BE">
      <w:pPr>
        <w:pStyle w:val="P1"/>
        <w:rPr>
          <w:rStyle w:val="None"/>
          <w:shd w:val="clear" w:color="auto" w:fill="FFFFFF"/>
        </w:rPr>
      </w:pPr>
    </w:p>
    <w:p w14:paraId="4ACB6071" w14:textId="03F6CAC6" w:rsidR="004A47D4" w:rsidRPr="00996185" w:rsidRDefault="00CB15C2" w:rsidP="001F05BE">
      <w:pPr>
        <w:pStyle w:val="P1"/>
        <w:rPr>
          <w:rStyle w:val="None"/>
          <w:shd w:val="clear" w:color="auto" w:fill="FFFFFF"/>
        </w:rPr>
      </w:pPr>
      <m:oMath>
        <m:func>
          <m:funcPr>
            <m:ctrlPr>
              <w:rPr>
                <w:rFonts w:ascii="Cambria Math" w:hAnsi="Cambria Math"/>
                <w:i/>
              </w:rPr>
            </m:ctrlPr>
          </m:funcPr>
          <m:fName>
            <m:r>
              <w:rPr>
                <w:rFonts w:ascii="Cambria Math" w:hAnsi="Cambria Math"/>
              </w:rPr>
              <m:t>log</m:t>
            </m:r>
          </m:fName>
          <m:e>
            <m:r>
              <w:rPr>
                <w:rFonts w:ascii="Cambria Math" w:hAnsi="Cambria Math"/>
              </w:rPr>
              <m:t>σ</m:t>
            </m:r>
          </m:e>
        </m:func>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1</m:t>
            </m:r>
          </m:sub>
        </m:sSub>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β-</m:t>
            </m:r>
            <m:sSub>
              <m:sSubPr>
                <m:ctrlPr>
                  <w:rPr>
                    <w:rFonts w:ascii="Cambria Math" w:hAnsi="Cambria Math"/>
                  </w:rPr>
                </m:ctrlPr>
              </m:sSubPr>
              <m:e>
                <m:r>
                  <w:rPr>
                    <w:rFonts w:ascii="Cambria Math" w:hAnsi="Cambria Math"/>
                  </w:rPr>
                  <m:t>β</m:t>
                </m:r>
              </m:e>
              <m:sub>
                <m:r>
                  <w:rPr>
                    <w:rFonts w:ascii="Cambria Math" w:hAnsi="Cambria Math"/>
                  </w:rPr>
                  <m:t>0</m:t>
                </m:r>
              </m:sub>
            </m:sSub>
          </m:e>
        </m:d>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rPr>
            </m:ctrlPr>
          </m:sSupPr>
          <m:e>
            <m:d>
              <m:dPr>
                <m:ctrlPr>
                  <w:rPr>
                    <w:rFonts w:ascii="Cambria Math" w:hAnsi="Cambria Math"/>
                    <w:i/>
                  </w:rPr>
                </m:ctrlPr>
              </m:dPr>
              <m:e>
                <m:r>
                  <w:rPr>
                    <w:rFonts w:ascii="Cambria Math" w:hAnsi="Cambria Math"/>
                  </w:rPr>
                  <m:t>β-</m:t>
                </m:r>
                <m:sSub>
                  <m:sSubPr>
                    <m:ctrlPr>
                      <w:rPr>
                        <w:rFonts w:ascii="Cambria Math" w:hAnsi="Cambria Math"/>
                      </w:rPr>
                    </m:ctrlPr>
                  </m:sSubPr>
                  <m:e>
                    <m:r>
                      <w:rPr>
                        <w:rFonts w:ascii="Cambria Math" w:hAnsi="Cambria Math"/>
                      </w:rPr>
                      <m:t>β</m:t>
                    </m:r>
                  </m:e>
                  <m:sub>
                    <m:r>
                      <w:rPr>
                        <w:rFonts w:ascii="Cambria Math" w:hAnsi="Cambria Math"/>
                      </w:rPr>
                      <m:t>0</m:t>
                    </m:r>
                  </m:sub>
                </m:sSub>
              </m:e>
            </m:d>
          </m:e>
          <m:sup>
            <m:r>
              <w:rPr>
                <w:rFonts w:ascii="Cambria Math" w:hAnsi="Cambria Math"/>
              </w:rPr>
              <m:t>2</m:t>
            </m:r>
          </m:sup>
        </m:sSup>
      </m:oMath>
      <w:r w:rsidR="00EB2A2E" w:rsidRPr="00996185">
        <w:rPr>
          <w:rStyle w:val="None"/>
          <w:shd w:val="clear" w:color="auto" w:fill="FFFFFF"/>
        </w:rPr>
        <w:t xml:space="preserve"> </w:t>
      </w:r>
      <w:r w:rsidR="00147125" w:rsidRPr="00996185">
        <w:rPr>
          <w:rStyle w:val="None"/>
          <w:shd w:val="clear" w:color="auto" w:fill="FFFFFF"/>
        </w:rPr>
        <w:t xml:space="preserve">      </w:t>
      </w:r>
      <w:r w:rsidR="00EB2A2E" w:rsidRPr="00996185">
        <w:rPr>
          <w:rStyle w:val="None"/>
          <w:shd w:val="clear" w:color="auto" w:fill="FFFFFF"/>
        </w:rPr>
        <w:t>(1)</w:t>
      </w:r>
    </w:p>
    <w:p w14:paraId="26392182" w14:textId="77777777" w:rsidR="004A47D4" w:rsidRPr="00996185" w:rsidRDefault="004A47D4" w:rsidP="001F05BE">
      <w:pPr>
        <w:pStyle w:val="P1"/>
        <w:rPr>
          <w:rStyle w:val="None"/>
          <w:shd w:val="clear" w:color="auto" w:fill="FFFFFF"/>
        </w:rPr>
      </w:pPr>
    </w:p>
    <w:p w14:paraId="78C74E17" w14:textId="040C3C47" w:rsidR="004A47D4" w:rsidRPr="00996185" w:rsidRDefault="00EB2A2E" w:rsidP="001F05BE">
      <w:pPr>
        <w:pStyle w:val="P1"/>
        <w:rPr>
          <w:rStyle w:val="None"/>
          <w:shd w:val="clear" w:color="auto" w:fill="FFFFFF"/>
        </w:rPr>
      </w:pPr>
      <w:r w:rsidRPr="00996185">
        <w:rPr>
          <w:rStyle w:val="None"/>
          <w:shd w:val="clear" w:color="auto" w:fill="FFFFFF"/>
        </w:rPr>
        <w:t xml:space="preserve">with the inverse onset temperature </w:t>
      </w:r>
      <m:oMath>
        <m:sSub>
          <m:sSubPr>
            <m:ctrlPr>
              <w:rPr>
                <w:rFonts w:ascii="Cambria Math" w:hAnsi="Cambria Math"/>
              </w:rPr>
            </m:ctrlPr>
          </m:sSubPr>
          <m:e>
            <m:r>
              <w:rPr>
                <w:rFonts w:ascii="Cambria Math" w:hAnsi="Cambria Math"/>
              </w:rPr>
              <m:t>β</m:t>
            </m:r>
          </m:e>
          <m:sub>
            <m:r>
              <w:rPr>
                <w:rFonts w:ascii="Cambria Math" w:hAnsi="Cambria Math"/>
              </w:rPr>
              <m:t>0</m:t>
            </m:r>
          </m:sub>
        </m:sSub>
      </m:oMath>
      <w:r w:rsidRPr="00996185">
        <w:rPr>
          <w:rStyle w:val="None"/>
          <w:shd w:val="clear" w:color="auto" w:fill="FFFFFF"/>
        </w:rPr>
        <w:t xml:space="preserve">. The surrogate models for the description of the </w:t>
      </w:r>
      <m:oMath>
        <m:sSub>
          <m:sSubPr>
            <m:ctrlPr>
              <w:rPr>
                <w:rFonts w:ascii="Cambria Math" w:hAnsi="Cambria Math"/>
              </w:rPr>
            </m:ctrlPr>
          </m:sSubPr>
          <m:e>
            <m:r>
              <w:rPr>
                <w:rFonts w:ascii="Cambria Math" w:hAnsi="Cambria Math"/>
                <w:sz w:val="19"/>
                <w:szCs w:val="19"/>
              </w:rPr>
              <m:t>S</m:t>
            </m:r>
          </m:e>
          <m:sub>
            <m:r>
              <w:rPr>
                <w:rFonts w:ascii="Cambria Math" w:hAnsi="Cambria Math"/>
                <w:sz w:val="19"/>
                <w:szCs w:val="19"/>
              </w:rPr>
              <m:t>i</m:t>
            </m:r>
          </m:sub>
        </m:sSub>
        <m:r>
          <w:rPr>
            <w:rFonts w:ascii="Cambria Math" w:hAnsi="Cambria Math"/>
            <w:sz w:val="19"/>
            <w:szCs w:val="19"/>
          </w:rPr>
          <m:t>(X)</m:t>
        </m:r>
      </m:oMath>
      <w:r w:rsidRPr="00996185">
        <w:rPr>
          <w:rStyle w:val="None"/>
          <w:shd w:val="clear" w:color="auto" w:fill="FFFFFF"/>
        </w:rPr>
        <w:t xml:space="preserve"> are formulated in terms of polynomials. The models as well as the choice of the order, also in the context of the available experimental data sets, </w:t>
      </w:r>
      <w:r w:rsidR="002A2908" w:rsidRPr="00996185">
        <w:rPr>
          <w:rStyle w:val="None"/>
          <w:shd w:val="clear" w:color="auto" w:fill="FFFFFF"/>
        </w:rPr>
        <w:t>are</w:t>
      </w:r>
      <w:r w:rsidRPr="00996185">
        <w:rPr>
          <w:rStyle w:val="None"/>
          <w:shd w:val="clear" w:color="auto" w:fill="FFFFFF"/>
        </w:rPr>
        <w:t xml:space="preserve"> discussed in the methods section of SI. </w:t>
      </w:r>
      <w:r w:rsidR="008F41DF" w:rsidRPr="00996185">
        <w:rPr>
          <w:shd w:val="clear" w:color="auto" w:fill="FFFFFF"/>
        </w:rPr>
        <w:t xml:space="preserve">Of particular relevance is the information content of the in-sample and out-of-sample error as a function of the size of the training set (see SI V). </w:t>
      </w:r>
      <w:r w:rsidRPr="00996185">
        <w:rPr>
          <w:rStyle w:val="None"/>
          <w:shd w:val="clear" w:color="auto" w:fill="FFFFFF"/>
        </w:rPr>
        <w:t xml:space="preserve">For the analysis we use dimensionless parameters. In particular, we choose </w:t>
      </w:r>
      <m:oMath>
        <m:r>
          <w:rPr>
            <w:rFonts w:ascii="Cambria Math" w:hAnsi="Cambria Math"/>
            <w:sz w:val="19"/>
            <w:szCs w:val="19"/>
          </w:rPr>
          <m:t>β=1000/T</m:t>
        </m:r>
      </m:oMath>
      <w:r w:rsidRPr="00996185">
        <w:rPr>
          <w:rStyle w:val="None"/>
          <w:shd w:val="clear" w:color="auto" w:fill="FFFFFF"/>
        </w:rPr>
        <w:t xml:space="preserve"> where T is expressed in Kelvin [K]. These parameters have a direct interpretation: </w:t>
      </w:r>
      <m:oMath>
        <m:r>
          <w:rPr>
            <w:rFonts w:ascii="Cambria Math" w:hAnsi="Cambria Math"/>
            <w:sz w:val="19"/>
            <w:szCs w:val="19"/>
          </w:rPr>
          <m:t>exp[</m:t>
        </m:r>
        <m:sSub>
          <m:sSubPr>
            <m:ctrlPr>
              <w:rPr>
                <w:rFonts w:ascii="Cambria Math" w:hAnsi="Cambria Math"/>
              </w:rPr>
            </m:ctrlPr>
          </m:sSubPr>
          <m:e>
            <m:r>
              <w:rPr>
                <w:rFonts w:ascii="Cambria Math" w:hAnsi="Cambria Math"/>
                <w:sz w:val="19"/>
                <w:szCs w:val="19"/>
              </w:rPr>
              <m:t>S</m:t>
            </m:r>
          </m:e>
          <m:sub>
            <m:r>
              <w:rPr>
                <w:rFonts w:ascii="Cambria Math" w:hAnsi="Cambria Math"/>
                <w:sz w:val="19"/>
                <w:szCs w:val="19"/>
              </w:rPr>
              <m:t>0</m:t>
            </m:r>
          </m:sub>
        </m:sSub>
        <m:r>
          <w:rPr>
            <w:rFonts w:ascii="Cambria Math" w:hAnsi="Cambria Math"/>
            <w:sz w:val="19"/>
            <w:szCs w:val="19"/>
          </w:rPr>
          <m:t>(X)]</m:t>
        </m:r>
      </m:oMath>
      <w:r w:rsidRPr="00996185">
        <w:rPr>
          <w:rStyle w:val="None"/>
          <w:shd w:val="clear" w:color="auto" w:fill="FFFFFF"/>
        </w:rPr>
        <w:t xml:space="preserve"> corresponds to the conductivity at the onset temperature. The activation energy, evaluated at the onset temperature, is proportional to </w:t>
      </w:r>
      <m:oMath>
        <m:sSub>
          <m:sSubPr>
            <m:ctrlPr>
              <w:rPr>
                <w:rFonts w:ascii="Cambria Math" w:hAnsi="Cambria Math"/>
              </w:rPr>
            </m:ctrlPr>
          </m:sSubPr>
          <m:e>
            <m:r>
              <w:rPr>
                <w:rFonts w:ascii="Cambria Math" w:hAnsi="Cambria Math"/>
                <w:sz w:val="19"/>
                <w:szCs w:val="19"/>
              </w:rPr>
              <m:t>S</m:t>
            </m:r>
          </m:e>
          <m:sub>
            <m:r>
              <w:rPr>
                <w:rFonts w:ascii="Cambria Math" w:hAnsi="Cambria Math"/>
                <w:sz w:val="19"/>
                <w:szCs w:val="19"/>
              </w:rPr>
              <m:t>1</m:t>
            </m:r>
          </m:sub>
        </m:sSub>
        <m:r>
          <w:rPr>
            <w:rFonts w:ascii="Cambria Math" w:hAnsi="Cambria Math"/>
            <w:sz w:val="19"/>
            <w:szCs w:val="19"/>
          </w:rPr>
          <m:t>(X)</m:t>
        </m:r>
      </m:oMath>
      <w:r w:rsidRPr="00996185">
        <w:rPr>
          <w:rStyle w:val="None"/>
          <w:shd w:val="clear" w:color="auto" w:fill="FFFFFF"/>
        </w:rPr>
        <w:t xml:space="preserve">. Finally, </w:t>
      </w:r>
      <m:oMath>
        <m:sSub>
          <m:sSubPr>
            <m:ctrlPr>
              <w:rPr>
                <w:rFonts w:ascii="Cambria Math" w:hAnsi="Cambria Math"/>
              </w:rPr>
            </m:ctrlPr>
          </m:sSubPr>
          <m:e>
            <m:r>
              <w:rPr>
                <w:rFonts w:ascii="Cambria Math" w:hAnsi="Cambria Math"/>
                <w:sz w:val="19"/>
                <w:szCs w:val="19"/>
              </w:rPr>
              <m:t>S</m:t>
            </m:r>
          </m:e>
          <m:sub>
            <m:r>
              <w:rPr>
                <w:rFonts w:ascii="Cambria Math" w:hAnsi="Cambria Math"/>
                <w:sz w:val="19"/>
                <w:szCs w:val="19"/>
              </w:rPr>
              <m:t>2</m:t>
            </m:r>
          </m:sub>
        </m:sSub>
        <m:r>
          <w:rPr>
            <w:rFonts w:ascii="Cambria Math" w:hAnsi="Cambria Math"/>
            <w:sz w:val="19"/>
            <w:szCs w:val="19"/>
          </w:rPr>
          <m:t>(X)</m:t>
        </m:r>
      </m:oMath>
      <w:r w:rsidRPr="00996185">
        <w:rPr>
          <w:rStyle w:val="None"/>
          <w:shd w:val="clear" w:color="auto" w:fill="FFFFFF"/>
        </w:rPr>
        <w:t xml:space="preserve"> reflects possible deviations from pure Arrhenius behavior, showing up as a curvature. This transformation with implicit temperature description reduces the number of datasets and the corresponding parameters to 3 and all of them have a direct physical interpretation, providing additional information as compared to a polynomial fit of ionic conductivity.</w:t>
      </w:r>
      <w:r w:rsidR="007E7381" w:rsidRPr="00996185">
        <w:rPr>
          <w:rStyle w:val="None"/>
          <w:vertAlign w:val="superscript"/>
        </w:rPr>
        <w:fldChar w:fldCharType="begin"/>
      </w:r>
      <w:r w:rsidR="00147125" w:rsidRPr="00996185">
        <w:rPr>
          <w:rStyle w:val="None"/>
          <w:vertAlign w:val="superscript"/>
        </w:rPr>
        <w:instrText xml:space="preserve"> ADDIN ZOTERO_ITEM CSL_CITATION {"citationID":"SHV6ZXws","properties":{"formattedCitation":"\\super [36,37]\\nosupersub{}","plainCitation":"[36,37]","noteIndex":0},"citationItems":[{"id":1743,"uris":["http://zotero.org/users/8284002/items/8WQ2D3U5"],"itemData":{"id":1743,"type":"article-journal","container-title":"Journal of The Electrochemical Society","DOI":"10.1149/1.1403730","issue":"10","note":"number: 10","page":"A1196-1204","title":"Change of Conductivity with Salt Content, Solvent Composition, and Temperature for Electrolytes of LiPF 6 in Ethylene Carbonate-Ethyl Methyl Carbonate","volume":"148","author":[{"family":"Ding","given":"M S"},{"family":"Xu","given":"Kang"},{"family":"Zhang","given":"Shengshui"},{"family":"Amine","given":"Khalil"},{"family":"Henriksen","given":"G L"},{"family":"Jow","given":"Richard"}],"issued":{"date-parts":[["2001"]]}}},{"id":1821,"uris":["http://zotero.org/users/8284002/items/63LY4HFR"],"itemData":{"id":1821,"type":"article-journal","container-title":"Journal of The Electrochemical Society","DOI":"10.1149/2.0571912jes","ISSN":"0013-4651, 1945-7111","issue":"14","journalAbbreviation":"J. Electrochem. Soc.","language":"en","page":"A3079-A3097","source":"DOI.org (Crossref)","title":"Temperature and Concentration Dependence of the Ionic Transport Properties of Lithium-Ion Battery Electrolytes","volume":"166","author":[{"family":"Landesfeind","given":"Johannes"},{"family":"Gasteiger","given":"Hubert A."}],"issued":{"date-parts":[["2019"]]}}}],"schema":"https://github.com/citation-style-language/schema/raw/master/csl-citation.json"} </w:instrText>
      </w:r>
      <w:r w:rsidR="007E7381" w:rsidRPr="00996185">
        <w:rPr>
          <w:rStyle w:val="None"/>
          <w:vertAlign w:val="superscript"/>
        </w:rPr>
        <w:fldChar w:fldCharType="separate"/>
      </w:r>
      <w:r w:rsidR="00147125" w:rsidRPr="00996185">
        <w:rPr>
          <w:rFonts w:cs="Arial"/>
          <w:szCs w:val="24"/>
          <w:vertAlign w:val="superscript"/>
        </w:rPr>
        <w:t>[36,37]</w:t>
      </w:r>
      <w:r w:rsidR="007E7381" w:rsidRPr="00996185">
        <w:rPr>
          <w:rStyle w:val="None"/>
          <w:vertAlign w:val="superscript"/>
        </w:rPr>
        <w:fldChar w:fldCharType="end"/>
      </w:r>
    </w:p>
    <w:p w14:paraId="6A191979" w14:textId="77777777" w:rsidR="004A47D4" w:rsidRPr="00996185" w:rsidRDefault="00EB2A2E" w:rsidP="001F05BE">
      <w:pPr>
        <w:pStyle w:val="P1"/>
        <w:rPr>
          <w:rStyle w:val="None"/>
          <w:shd w:val="clear" w:color="auto" w:fill="FFFFFF"/>
        </w:rPr>
      </w:pPr>
      <w:r w:rsidRPr="00996185">
        <w:rPr>
          <w:rStyle w:val="None"/>
          <w:shd w:val="clear" w:color="auto" w:fill="FFFFFF"/>
        </w:rPr>
        <w:t>The choice of the onset temperature is obtained from the correlation of conductivity and activation energy at a given temperature. At low temperatures both quantities are strongly correlated, since high activation energies show very low conductivities at low temperatures and for the present set of electrolyte compositions this correlation diminishes at approximately 40 °C, as shown in the SI-Figure S7.</w:t>
      </w:r>
    </w:p>
    <w:p w14:paraId="5FF32A45" w14:textId="77777777" w:rsidR="004A47D4" w:rsidRPr="00996185" w:rsidRDefault="004A47D4" w:rsidP="001F05BE">
      <w:pPr>
        <w:pStyle w:val="P1"/>
        <w:rPr>
          <w:rStyle w:val="None"/>
          <w:shd w:val="clear" w:color="auto" w:fill="FFFFFF"/>
        </w:rPr>
      </w:pPr>
    </w:p>
    <w:p w14:paraId="0EA987D0" w14:textId="0BB2F6E0" w:rsidR="004A47D4" w:rsidRPr="00996185" w:rsidRDefault="00EB2A2E" w:rsidP="001F05BE">
      <w:pPr>
        <w:pStyle w:val="P1"/>
        <w:rPr>
          <w:rStyle w:val="None"/>
          <w:shd w:val="clear" w:color="auto" w:fill="FFFFFF"/>
        </w:rPr>
      </w:pPr>
      <w:r w:rsidRPr="00996185">
        <w:rPr>
          <w:rStyle w:val="None"/>
          <w:shd w:val="clear" w:color="auto" w:fill="FFFFFF"/>
        </w:rPr>
        <w:t xml:space="preserve">Here we use linear regression (LR) and Gaussian process regression (GPR) models to analyze the </w:t>
      </w:r>
      <w:r w:rsidR="00554784" w:rsidRPr="00996185">
        <w:rPr>
          <w:rStyle w:val="None"/>
          <w:shd w:val="clear" w:color="auto" w:fill="FFFFFF"/>
        </w:rPr>
        <w:t xml:space="preserve">acquired </w:t>
      </w:r>
      <w:r w:rsidRPr="00996185">
        <w:rPr>
          <w:rStyle w:val="None"/>
          <w:shd w:val="clear" w:color="auto" w:fill="FFFFFF"/>
        </w:rPr>
        <w:t>HT electrolyte conductivity datasets. GPR directly provides confidence intervals for the predictions, whereas for LR, we use a bootstrapping process to account for uncertainties in predictions.</w:t>
      </w:r>
      <w:r w:rsidR="009231D9" w:rsidRPr="00996185">
        <w:rPr>
          <w:rStyle w:val="None"/>
          <w:shd w:val="clear" w:color="auto" w:fill="FFFFFF"/>
        </w:rPr>
        <w:fldChar w:fldCharType="begin"/>
      </w:r>
      <w:r w:rsidR="00147125" w:rsidRPr="00996185">
        <w:rPr>
          <w:rStyle w:val="None"/>
          <w:shd w:val="clear" w:color="auto" w:fill="FFFFFF"/>
        </w:rPr>
        <w:instrText xml:space="preserve"> ADDIN ZOTERO_ITEM CSL_CITATION {"citationID":"Wmb0CrTk","properties":{"formattedCitation":"\\super [17,38\\uc0\\u8211{}42]\\nosupersub{}","plainCitation":"[17,38–42]","noteIndex":0},"citationItems":[{"id":874,"uris":["http://zotero.org/users/8284002/items/J3N28DUZ"],"itemData":{"id":874,"type":"article-journal","container-title":"npj Computational Materials","DOI":"10.1038/s41524-019-0221-0","ISSN":"2057-3960","issue":"1","language":"en","page":"83","source":"DOI.org (Crossref)","title":"Recent advances and applications of machine learning in solid-state materials science","volume":"5","author":[{"family":"Schmidt","given":"Jonathan"},{"family":"Marques","given":"Mário R. G."},{"family":"Botti","given":"Silvana"},{"family":"Marques","given":"Miguel A. L."}],"issued":{"date-parts":[["2019",12]]}}},{"id":831,"uris":["http://zotero.org/users/8284002/items/MMLQ9SJW"],"itemData":{"id":831,"type":"book","call-number":"QA274.4 .R37 2006","collection-title":"Adaptive computation and machine learning","event-place":"Cambridge, Mass","ISBN":"978-0-262-18253-9","note":"OCLC: ocm61285753","number-of-pages":"248","publisher":"MIT Press","publisher-place":"Cambridge, Mass","source":"Library of Congress ISBN","title":"Gaussian processes for machine learning","author":[{"family":"Rasmussen","given":"Carl Edward"},{"family":"Williams","given":"Christopher K. I."}],"issued":{"date-parts":[["2006"]]}}},{"id":1779,"uris":["http://zotero.org/users/8284002/items/29Y5G7UP"],"itemData":{"id":1779,"type":"thesis","publisher":"University of Cambridge","title":"Automatic Model Construction with Gaussian Processes","URL":"https://www.cs.toronto.edu/~duvenaud/thesis.pdf","author":[{"family":"Duvenaud","given":"David Kristjanson"}],"issued":{"date-parts":[["2014"]]}}},{"id":1824,"uris":["http://zotero.org/users/8284002/items/T8K89VDM"],"itemData":{"id":1824,"type":"article-journal","container-title":"Computer Methods and Programs in Biomedicine","DOI":"10.1016/j.cmpb.2006.01.008","ISSN":"01692607","issue":"1","journalAbbreviation":"Computer Methods and Programs in Biomedicine","language":"en","page":"31-37","source":"DOI.org (Crossref)","title":"Robust regression for high throughput drug screening","volume":"82","author":[{"family":"Fomenko","given":"Igor"},{"family":"Durst","given":"Mark"},{"family":"Balaban","given":"David"}],"issued":{"date-parts":[["2006",4]]}}},{"id":1782,"uris":["http://zotero.org/users/8284002/items/UTHPTHTC"],"itemData":{"id":1782,"type":"article-journal","container-title":"Statistics &amp; Probability Letters","DOI":"10.1016/j.spl.2017.11.001","title":"Bootstrapping for multivariate linear regression models","volume":"134","author":[{"family":"Eck","given":"Daniel"}],"issued":{"date-parts":[["2017"]]}}},{"id":1784,"uris":["http://zotero.org/users/8284002/items/NDNJBAYP"],"itemData":{"id":1784,"type":"webpage","title":"Bootstrapping Regression Models","title-short":"An Appendix to An R Companion to Applied Regression, third edition","URL":"https://artowen.su.domains/courses/305-1314/FoxOnBootingRegInR.pdf","author":[{"family":"Fox","given":"John"}],"issued":{"date-parts":[["2002"]]}}}],"schema":"https://github.com/citation-style-language/schema/raw/master/csl-citation.json"} </w:instrText>
      </w:r>
      <w:r w:rsidR="009231D9" w:rsidRPr="00996185">
        <w:rPr>
          <w:rStyle w:val="None"/>
          <w:shd w:val="clear" w:color="auto" w:fill="FFFFFF"/>
        </w:rPr>
        <w:fldChar w:fldCharType="separate"/>
      </w:r>
      <w:r w:rsidR="00147125" w:rsidRPr="00996185">
        <w:rPr>
          <w:rFonts w:cs="Arial"/>
          <w:szCs w:val="24"/>
          <w:vertAlign w:val="superscript"/>
        </w:rPr>
        <w:t>[17,38–42]</w:t>
      </w:r>
      <w:r w:rsidR="009231D9" w:rsidRPr="00996185">
        <w:rPr>
          <w:rStyle w:val="None"/>
          <w:shd w:val="clear" w:color="auto" w:fill="FFFFFF"/>
        </w:rPr>
        <w:fldChar w:fldCharType="end"/>
      </w:r>
      <w:r w:rsidRPr="00996185">
        <w:rPr>
          <w:rStyle w:val="None"/>
          <w:shd w:val="clear" w:color="auto" w:fill="FFFFFF"/>
        </w:rPr>
        <w:t xml:space="preserve"> The features</w:t>
      </w:r>
      <w:r w:rsidR="00554784" w:rsidRPr="00996185">
        <w:rPr>
          <w:rStyle w:val="None"/>
          <w:shd w:val="clear" w:color="auto" w:fill="FFFFFF"/>
        </w:rPr>
        <w:t xml:space="preserve"> comprise</w:t>
      </w:r>
      <w:r w:rsidRPr="00996185">
        <w:rPr>
          <w:rStyle w:val="None"/>
          <w:shd w:val="clear" w:color="auto" w:fill="FFFFFF"/>
        </w:rPr>
        <w:t xml:space="preserve"> LiPF</w:t>
      </w:r>
      <w:r w:rsidRPr="00996185">
        <w:rPr>
          <w:rStyle w:val="None"/>
          <w:shd w:val="clear" w:color="auto" w:fill="FFFFFF"/>
          <w:vertAlign w:val="subscript"/>
        </w:rPr>
        <w:t>6</w:t>
      </w:r>
      <w:r w:rsidRPr="00996185">
        <w:rPr>
          <w:rStyle w:val="None"/>
          <w:shd w:val="clear" w:color="auto" w:fill="FFFFFF"/>
        </w:rPr>
        <w:t xml:space="preserve">, VC, and EC concentrations and the </w:t>
      </w:r>
      <w:r w:rsidRPr="00996185">
        <w:rPr>
          <w:rStyle w:val="None"/>
          <w:shd w:val="clear" w:color="auto" w:fill="FFFFFF"/>
        </w:rPr>
        <w:t>predicted quantity is the logarithm of the ionic conductivity of the resulting electrolyte. Both LR (R</w:t>
      </w:r>
      <w:r w:rsidRPr="00996185">
        <w:rPr>
          <w:rStyle w:val="None"/>
          <w:shd w:val="clear" w:color="auto" w:fill="FFFFFF"/>
          <w:vertAlign w:val="superscript"/>
        </w:rPr>
        <w:t>2</w:t>
      </w:r>
      <w:r w:rsidRPr="00996185">
        <w:rPr>
          <w:rStyle w:val="None"/>
          <w:shd w:val="clear" w:color="auto" w:fill="FFFFFF"/>
        </w:rPr>
        <w:t xml:space="preserve"> score - 0.986) and GPR (R</w:t>
      </w:r>
      <w:r w:rsidRPr="00996185">
        <w:rPr>
          <w:rStyle w:val="None"/>
          <w:shd w:val="clear" w:color="auto" w:fill="FFFFFF"/>
          <w:vertAlign w:val="superscript"/>
        </w:rPr>
        <w:t>2</w:t>
      </w:r>
      <w:r w:rsidRPr="00996185">
        <w:rPr>
          <w:rStyle w:val="None"/>
          <w:shd w:val="clear" w:color="auto" w:fill="FFFFFF"/>
        </w:rPr>
        <w:t xml:space="preserve"> score - 0.987) show similar prediction accuracy for experimental ionic conductivities which to a large extent are determined by the experimental errors (see SI V.1)</w:t>
      </w:r>
    </w:p>
    <w:p w14:paraId="18CBFBE0" w14:textId="4A336D78" w:rsidR="004A47D4" w:rsidRPr="00996185" w:rsidRDefault="00EB2A2E" w:rsidP="001F05BE">
      <w:pPr>
        <w:pStyle w:val="P1"/>
        <w:rPr>
          <w:rStyle w:val="None"/>
          <w:shd w:val="clear" w:color="auto" w:fill="FFFFFF"/>
        </w:rPr>
      </w:pPr>
      <w:r w:rsidRPr="00996185">
        <w:rPr>
          <w:rStyle w:val="None"/>
          <w:shd w:val="clear" w:color="auto" w:fill="FFFFFF"/>
        </w:rPr>
        <w:t xml:space="preserve">The data driven workflow is independent of the nature of the dataset, thus can provide a leeway for larger dimensions of features like introduction of multiple co-solvent, additives or </w:t>
      </w:r>
      <w:r w:rsidR="00281CDB" w:rsidRPr="00996185">
        <w:rPr>
          <w:rStyle w:val="None"/>
        </w:rPr>
        <w:t xml:space="preserve">conducting </w:t>
      </w:r>
      <w:r w:rsidRPr="00996185">
        <w:rPr>
          <w:rStyle w:val="None"/>
          <w:shd w:val="clear" w:color="auto" w:fill="FFFFFF"/>
        </w:rPr>
        <w:t>salt mixtures. This increased dimensionality of electrolyte formulations increases the complexity of empirical models which are generally used to interpret the relevance of electrolyte compositions on ionic conductivity.</w:t>
      </w:r>
      <w:r w:rsidR="009231D9" w:rsidRPr="00996185">
        <w:rPr>
          <w:rStyle w:val="None"/>
          <w:shd w:val="clear" w:color="auto" w:fill="FFFFFF"/>
        </w:rPr>
        <w:fldChar w:fldCharType="begin"/>
      </w:r>
      <w:r w:rsidR="00147125" w:rsidRPr="00996185">
        <w:rPr>
          <w:rStyle w:val="None"/>
          <w:shd w:val="clear" w:color="auto" w:fill="FFFFFF"/>
        </w:rPr>
        <w:instrText xml:space="preserve"> ADDIN ZOTERO_ITEM CSL_CITATION {"citationID":"ONRqp7sb","properties":{"formattedCitation":"\\super [36,37,43]\\nosupersub{}","plainCitation":"[36,37,43]","noteIndex":0},"citationItems":[{"id":1743,"uris":["http://zotero.org/users/8284002/items/8WQ2D3U5"],"itemData":{"id":1743,"type":"article-journal","container-title":"Journal of The Electrochemical Society","DOI":"10.1149/1.1403730","issue":"10","note":"number: 10","page":"A1196-1204","title":"Change of Conductivity with Salt Content, Solvent Composition, and Temperature for Electrolytes of LiPF 6 in Ethylene Carbonate-Ethyl Methyl Carbonate","volume":"148","author":[{"family":"Ding","given":"M S"},{"family":"Xu","given":"Kang"},{"family":"Zhang","given":"Shengshui"},{"family":"Amine","given":"Khalil"},{"family":"Henriksen","given":"G L"},{"family":"Jow","given":"Richard"}],"issued":{"date-parts":[["2001"]]}}},{"id":1821,"uris":["http://zotero.org/users/8284002/items/63LY4HFR"],"itemData":{"id":1821,"type":"article-journal","container-title":"Journal of The Electrochemical Society","DOI":"10.1149/2.0571912jes","ISSN":"0013-4651, 1945-7111","issue":"14","journalAbbreviation":"J. Electrochem. Soc.","language":"en","page":"A3079-A3097","source":"DOI.org (Crossref)","title":"Temperature and Concentration Dependence of the Ionic Transport Properties of Lithium-Ion Battery Electrolytes","volume":"166","author":[{"family":"Landesfeind","given":"Johannes"},{"family":"Gasteiger","given":"Hubert A."}],"issued":{"date-parts":[["2019"]]}}},{"id":1830,"uris":["http://zotero.org/users/8284002/items/F5RA5AJF"],"itemData":{"id":1830,"type":"article-journal","container-title":"Journal of The Electrochemical Society","DOI":"10.1149/2.0271802jes","ISSN":"0013-4651, 1945-7111","issue":"2","journalAbbreviation":"J. Electrochem. Soc.","language":"en","page":"A21-A30","source":"DOI.org (Crossref)","title":"A Study of the Physical Properties of Li-Ion Battery Electrolytes Containing Esters","volume":"165","author":[{"family":"Logan","given":"E. R."},{"family":"Tonita","given":"Erin M."},{"family":"Gering","given":"K. L."},{"family":"Li","given":"Jing"},{"family":"Ma","given":"Xiaowei"},{"family":"Beaulieu","given":"L. Y."},{"family":"Dahn","given":"J. R."}],"issued":{"date-parts":[["2018"]]}}}],"schema":"https://github.com/citation-style-language/schema/raw/master/csl-citation.json"} </w:instrText>
      </w:r>
      <w:r w:rsidR="009231D9" w:rsidRPr="00996185">
        <w:rPr>
          <w:rStyle w:val="None"/>
          <w:shd w:val="clear" w:color="auto" w:fill="FFFFFF"/>
        </w:rPr>
        <w:fldChar w:fldCharType="separate"/>
      </w:r>
      <w:r w:rsidR="00147125" w:rsidRPr="00996185">
        <w:rPr>
          <w:rFonts w:cs="Arial"/>
          <w:szCs w:val="24"/>
          <w:vertAlign w:val="superscript"/>
        </w:rPr>
        <w:t>[36,37,43]</w:t>
      </w:r>
      <w:r w:rsidR="009231D9" w:rsidRPr="00996185">
        <w:rPr>
          <w:rStyle w:val="None"/>
          <w:shd w:val="clear" w:color="auto" w:fill="FFFFFF"/>
        </w:rPr>
        <w:fldChar w:fldCharType="end"/>
      </w:r>
      <w:r w:rsidRPr="00996185">
        <w:rPr>
          <w:rStyle w:val="None"/>
          <w:shd w:val="clear" w:color="auto" w:fill="FFFFFF"/>
        </w:rPr>
        <w:t xml:space="preserve"> Furthermore, data driven models provide robust error estimates of the predicted data, which are not provided by empirical fits.</w:t>
      </w:r>
      <w:r w:rsidR="009231D9" w:rsidRPr="00996185">
        <w:rPr>
          <w:rStyle w:val="None"/>
          <w:shd w:val="clear" w:color="auto" w:fill="FFFFFF"/>
        </w:rPr>
        <w:fldChar w:fldCharType="begin"/>
      </w:r>
      <w:r w:rsidR="00147125" w:rsidRPr="00996185">
        <w:rPr>
          <w:rStyle w:val="None"/>
          <w:shd w:val="clear" w:color="auto" w:fill="FFFFFF"/>
        </w:rPr>
        <w:instrText xml:space="preserve"> ADDIN ZOTERO_ITEM CSL_CITATION {"citationID":"IgyhJOWC","properties":{"formattedCitation":"\\super [17,36,37,44]\\nosupersub{}","plainCitation":"[17,36,37,44]","noteIndex":0},"citationItems":[{"id":874,"uris":["http://zotero.org/users/8284002/items/J3N28DUZ"],"itemData":{"id":874,"type":"article-journal","container-title":"npj Computational Materials","DOI":"10.1038/s41524-019-0221-0","ISSN":"2057-3960","issue":"1","language":"en","page":"83","source":"DOI.org (Crossref)","title":"Recent advances and applications of machine learning in solid-state materials science","volume":"5","author":[{"family":"Schmidt","given":"Jonathan"},{"family":"Marques","given":"Mário R. G."},{"family":"Botti","given":"Silvana"},{"family":"Marques","given":"Miguel A. L."}],"issued":{"date-parts":[["2019",12]]}}},{"id":1743,"uris":["http://zotero.org/users/8284002/items/8WQ2D3U5"],"itemData":{"id":1743,"type":"article-journal","container-title":"Journal of The Electrochemical Society","DOI":"10.1149/1.1403730","issue":"10","note":"number: 10","page":"A1196-1204","title":"Change of Conductivity with Salt Content, Solvent Composition, and Temperature for Electrolytes of LiPF 6 in Ethylene Carbonate-Ethyl Methyl Carbonate","volume":"148","author":[{"family":"Ding","given":"M S"},{"family":"Xu","given":"Kang"},{"family":"Zhang","given":"Shengshui"},{"family":"Amine","given":"Khalil"},{"family":"Henriksen","given":"G L"},{"family":"Jow","given":"Richard"}],"issued":{"date-parts":[["2001"]]}}},{"id":1821,"uris":["http://zotero.org/users/8284002/items/63LY4HFR"],"itemData":{"id":1821,"type":"article-journal","container-title":"Journal of The Electrochemical Society","DOI":"10.1149/2.0571912jes","ISSN":"0013-4651, 1945-7111","issue":"14","journalAbbreviation":"J. Electrochem. Soc.","language":"en","page":"A3079-A3097","source":"DOI.org (Crossref)","title":"Temperature and Concentration Dependence of the Ionic Transport Properties of Lithium-Ion Battery Electrolytes","volume":"166","author":[{"family":"Landesfeind","given":"Johannes"},{"family":"Gasteiger","given":"Hubert A."}],"issued":{"date-parts":[["2019"]]}}},{"id":1751,"uris":["http://zotero.org/users/8284002/items/3GF9DHMV"],"itemData":{"id":1751,"type":"article-journal","container-title":"Journal of The Electrochemical Society","DOI":": 10.1149/2.0481813jes","issue":"13","note":"number: 13","page":"A3022-A3028","title":"Quantification of PF5 and POF3 from Side Reactions of LiPF6 in Li-Ion Batteries","volume":"165","author":[{"family":"Solchenbach","given":"Sophie"},{"family":"Metzger","given":"Michael"},{"family":"Egawa","given":"Masamitsu"},{"family":"Beyer","given":"Hans"},{"family":"Gasteiger","given":"Hubert A"}],"issued":{"date-parts":[["2018"]]}}}],"schema":"https://github.com/citation-style-language/schema/raw/master/csl-citation.json"} </w:instrText>
      </w:r>
      <w:r w:rsidR="009231D9" w:rsidRPr="00996185">
        <w:rPr>
          <w:rStyle w:val="None"/>
          <w:shd w:val="clear" w:color="auto" w:fill="FFFFFF"/>
        </w:rPr>
        <w:fldChar w:fldCharType="separate"/>
      </w:r>
      <w:r w:rsidR="00147125" w:rsidRPr="00996185">
        <w:rPr>
          <w:rFonts w:cs="Arial"/>
          <w:szCs w:val="24"/>
          <w:vertAlign w:val="superscript"/>
        </w:rPr>
        <w:t>[17,36,37,44]</w:t>
      </w:r>
      <w:r w:rsidR="009231D9" w:rsidRPr="00996185">
        <w:rPr>
          <w:rStyle w:val="None"/>
          <w:shd w:val="clear" w:color="auto" w:fill="FFFFFF"/>
        </w:rPr>
        <w:fldChar w:fldCharType="end"/>
      </w:r>
      <w:r w:rsidRPr="00996185">
        <w:rPr>
          <w:rStyle w:val="None"/>
          <w:shd w:val="clear" w:color="auto" w:fill="FFFFFF"/>
        </w:rPr>
        <w:t xml:space="preserve"> Thus, these surrogate models provide an effective way to interpret acquired HT datasets independent of feature dimensions. Since both LR and GPR show similar results, we use LR to understand feature trends (x</w:t>
      </w:r>
      <w:r w:rsidRPr="00996185">
        <w:rPr>
          <w:rStyle w:val="None"/>
          <w:shd w:val="clear" w:color="auto" w:fill="FFFFFF"/>
          <w:vertAlign w:val="subscript"/>
        </w:rPr>
        <w:t>LiPF6</w:t>
      </w:r>
      <w:r w:rsidRPr="00996185">
        <w:rPr>
          <w:rStyle w:val="None"/>
          <w:shd w:val="clear" w:color="auto" w:fill="FFFFFF"/>
        </w:rPr>
        <w:t>, x</w:t>
      </w:r>
      <w:r w:rsidRPr="00996185">
        <w:rPr>
          <w:rStyle w:val="None"/>
          <w:shd w:val="clear" w:color="auto" w:fill="FFFFFF"/>
          <w:vertAlign w:val="subscript"/>
        </w:rPr>
        <w:t>VC</w:t>
      </w:r>
      <w:r w:rsidRPr="00996185">
        <w:rPr>
          <w:rStyle w:val="None"/>
          <w:shd w:val="clear" w:color="auto" w:fill="FFFFFF"/>
        </w:rPr>
        <w:t>, x</w:t>
      </w:r>
      <w:r w:rsidRPr="00996185">
        <w:rPr>
          <w:rStyle w:val="None"/>
          <w:shd w:val="clear" w:color="auto" w:fill="FFFFFF"/>
          <w:vertAlign w:val="subscript"/>
        </w:rPr>
        <w:t>EC</w:t>
      </w:r>
      <w:r w:rsidRPr="00996185">
        <w:rPr>
          <w:rStyle w:val="None"/>
          <w:shd w:val="clear" w:color="auto" w:fill="FFFFFF"/>
        </w:rPr>
        <w:t xml:space="preserve">) on ionic conductivity for convenience. The trends with GPR are shown in SI Figure S13. </w:t>
      </w:r>
    </w:p>
    <w:p w14:paraId="648A7486" w14:textId="3AF2506D" w:rsidR="004A47D4" w:rsidRPr="00996185" w:rsidRDefault="00EB2A2E" w:rsidP="001F05BE">
      <w:pPr>
        <w:pStyle w:val="P1"/>
        <w:rPr>
          <w:rStyle w:val="None"/>
          <w:shd w:val="clear" w:color="auto" w:fill="FFFFFF"/>
        </w:rPr>
      </w:pPr>
      <w:r w:rsidRPr="00996185">
        <w:rPr>
          <w:rStyle w:val="None"/>
          <w:shd w:val="clear" w:color="auto" w:fill="FFFFFF"/>
        </w:rPr>
        <w:t xml:space="preserve">The conductivity at onset temperature </w:t>
      </w:r>
      <m:oMath>
        <m:sSub>
          <m:sSubPr>
            <m:ctrlPr>
              <w:rPr>
                <w:rFonts w:ascii="Cambria Math" w:hAnsi="Cambria Math"/>
              </w:rPr>
            </m:ctrlPr>
          </m:sSubPr>
          <m:e>
            <m:r>
              <w:rPr>
                <w:rFonts w:ascii="Cambria Math" w:hAnsi="Cambria Math"/>
                <w:sz w:val="19"/>
                <w:szCs w:val="19"/>
              </w:rPr>
              <m:t>S</m:t>
            </m:r>
          </m:e>
          <m:sub>
            <m:r>
              <w:rPr>
                <w:rFonts w:ascii="Cambria Math" w:hAnsi="Cambria Math"/>
                <w:sz w:val="19"/>
                <w:szCs w:val="19"/>
              </w:rPr>
              <m:t>0</m:t>
            </m:r>
          </m:sub>
        </m:sSub>
        <m:r>
          <w:rPr>
            <w:rFonts w:ascii="Cambria Math" w:hAnsi="Cambria Math"/>
            <w:sz w:val="19"/>
            <w:szCs w:val="19"/>
          </w:rPr>
          <m:t>(X)</m:t>
        </m:r>
      </m:oMath>
      <w:r w:rsidRPr="00996185">
        <w:rPr>
          <w:rStyle w:val="None"/>
          <w:shd w:val="clear" w:color="auto" w:fill="FFFFFF"/>
        </w:rPr>
        <w:t xml:space="preserve"> tends to increase with LiPF</w:t>
      </w:r>
      <w:r w:rsidRPr="00996185">
        <w:rPr>
          <w:rStyle w:val="None"/>
          <w:shd w:val="clear" w:color="auto" w:fill="FFFFFF"/>
          <w:vertAlign w:val="subscript"/>
        </w:rPr>
        <w:t>6</w:t>
      </w:r>
      <w:r w:rsidRPr="00996185">
        <w:rPr>
          <w:rStyle w:val="None"/>
          <w:shd w:val="clear" w:color="auto" w:fill="FFFFFF"/>
        </w:rPr>
        <w:t xml:space="preserve"> content with a peak close to ~(0.07-0.09) and then drops for higher LiPF</w:t>
      </w:r>
      <w:r w:rsidRPr="00996185">
        <w:rPr>
          <w:rStyle w:val="None"/>
          <w:shd w:val="clear" w:color="auto" w:fill="FFFFFF"/>
          <w:vertAlign w:val="subscript"/>
        </w:rPr>
        <w:t>6</w:t>
      </w:r>
      <w:r w:rsidRPr="00996185">
        <w:rPr>
          <w:rStyle w:val="None"/>
          <w:shd w:val="clear" w:color="auto" w:fill="FFFFFF"/>
        </w:rPr>
        <w:t xml:space="preserve"> content (</w:t>
      </w:r>
      <w:r w:rsidRPr="00996185">
        <w:rPr>
          <w:rStyle w:val="None"/>
          <w:b/>
          <w:bCs/>
          <w:shd w:val="clear" w:color="auto" w:fill="FFFFFF"/>
        </w:rPr>
        <w:t xml:space="preserve">Figure </w:t>
      </w:r>
      <w:r w:rsidR="00522E61" w:rsidRPr="00996185">
        <w:rPr>
          <w:rStyle w:val="None"/>
          <w:b/>
          <w:bCs/>
          <w:shd w:val="clear" w:color="auto" w:fill="FFFFFF"/>
        </w:rPr>
        <w:t xml:space="preserve">3 </w:t>
      </w:r>
      <w:r w:rsidRPr="00996185">
        <w:rPr>
          <w:rStyle w:val="None"/>
          <w:b/>
          <w:bCs/>
          <w:shd w:val="clear" w:color="auto" w:fill="FFFFFF"/>
        </w:rPr>
        <w:t>I</w:t>
      </w:r>
      <w:r w:rsidRPr="00996185">
        <w:rPr>
          <w:rStyle w:val="None"/>
          <w:shd w:val="clear" w:color="auto" w:fill="FFFFFF"/>
        </w:rPr>
        <w:t>, left). A significant dependence on the EC content is observed. Starting from the low LiPF</w:t>
      </w:r>
      <w:r w:rsidRPr="00996185">
        <w:rPr>
          <w:rStyle w:val="None"/>
          <w:shd w:val="clear" w:color="auto" w:fill="FFFFFF"/>
          <w:vertAlign w:val="subscript"/>
        </w:rPr>
        <w:t>6</w:t>
      </w:r>
      <w:r w:rsidRPr="00996185">
        <w:rPr>
          <w:rStyle w:val="None"/>
          <w:shd w:val="clear" w:color="auto" w:fill="FFFFFF"/>
        </w:rPr>
        <w:t xml:space="preserve"> content, the initial rise in electrolyte conductivity is typically attributed to an increasing number of dissociated ions per unit volume whereas the subsequent reduction of conductivity reflects the increasing viscosity. The presence of maximum conductivity values upon variation of the </w:t>
      </w:r>
      <w:r w:rsidR="009D6B7E" w:rsidRPr="00996185">
        <w:rPr>
          <w:rStyle w:val="None"/>
        </w:rPr>
        <w:t xml:space="preserve">conducting </w:t>
      </w:r>
      <w:r w:rsidRPr="00996185">
        <w:rPr>
          <w:rStyle w:val="None"/>
          <w:shd w:val="clear" w:color="auto" w:fill="FFFFFF"/>
        </w:rPr>
        <w:t>salt content has been observed for other lithium-based electrolytes as well.</w:t>
      </w:r>
      <w:r w:rsidR="009231D9" w:rsidRPr="00996185">
        <w:rPr>
          <w:rStyle w:val="None"/>
          <w:shd w:val="clear" w:color="auto" w:fill="FFFFFF"/>
        </w:rPr>
        <w:fldChar w:fldCharType="begin"/>
      </w:r>
      <w:r w:rsidR="00147125" w:rsidRPr="00996185">
        <w:rPr>
          <w:rStyle w:val="None"/>
          <w:shd w:val="clear" w:color="auto" w:fill="FFFFFF"/>
        </w:rPr>
        <w:instrText xml:space="preserve"> ADDIN ZOTERO_ITEM CSL_CITATION {"citationID":"w1vKzt8N","properties":{"formattedCitation":"\\super [36,37,43\\uc0\\u8211{}47]\\nosupersub{}","plainCitation":"[36,37,43–47]","noteIndex":0},"citationItems":[{"id":1743,"uris":["http://zotero.org/users/8284002/items/8WQ2D3U5"],"itemData":{"id":1743,"type":"article-journal","container-title":"Journal of The Electrochemical Society","DOI":"10.1149/1.1403730","issue":"10","note":"number: 10","page":"A1196-1204","title":"Change of Conductivity with Salt Content, Solvent Composition, and Temperature for Electrolytes of LiPF 6 in Ethylene Carbonate-Ethyl Methyl Carbonate","volume":"148","author":[{"family":"Ding","given":"M S"},{"family":"Xu","given":"Kang"},{"family":"Zhang","given":"Shengshui"},{"family":"Amine","given":"Khalil"},{"family":"Henriksen","given":"G L"},{"family":"Jow","given":"Richard"}],"issued":{"date-parts":[["2001"]]}}},{"id":1821,"uris":["http://zotero.org/users/8284002/items/63LY4HFR"],"itemData":{"id":1821,"type":"article-journal","container-title":"Journal of The Electrochemical Society","DOI":"10.1149/2.0571912jes","ISSN":"0013-4651, 1945-7111","issue":"14","journalAbbreviation":"J. Electrochem. Soc.","language":"en","page":"A3079-A3097","source":"DOI.org (Crossref)","title":"Temperature and Concentration Dependence of the Ionic Transport Properties of Lithium-Ion Battery Electrolytes","volume":"166","author":[{"family":"Landesfeind","given":"Johannes"},{"family":"Gasteiger","given":"Hubert A."}],"issued":{"date-parts":[["2019"]]}}},{"id":1830,"uris":["http://zotero.org/users/8284002/items/F5RA5AJF"],"itemData":{"id":1830,"type":"article-journal","container-title":"Journal of The Electrochemical Society","DOI":"10.1149/2.0271802jes","ISSN":"0013-4651, 1945-7111","issue":"2","journalAbbreviation":"J. Electrochem. Soc.","language":"en","page":"A21-A30","source":"DOI.org (Crossref)","title":"A Study of the Physical Properties of Li-Ion Battery Electrolytes Containing Esters","volume":"165","author":[{"family":"Logan","given":"E. R."},{"family":"Tonita","given":"Erin M."},{"family":"Gering","given":"K. L."},{"family":"Li","given":"Jing"},{"family":"Ma","given":"Xiaowei"},{"family":"Beaulieu","given":"L. Y."},{"family":"Dahn","given":"J. R."}],"issued":{"date-parts":[["2018"]]}}},{"id":1751,"uris":["http://zotero.org/users/8284002/items/3GF9DHMV"],"itemData":{"id":1751,"type":"article-journal","container-title":"Journal of The Electrochemical Society","DOI":": 10.1149/2.0481813jes","issue":"13","note":"number: 13","page":"A3022-A3028","title":"Quantification of PF5 and POF3 from Side Reactions of LiPF6 in Li-Ion Batteries","volume":"165","author":[{"family":"Solchenbach","given":"Sophie"},{"family":"Metzger","given":"Michael"},{"family":"Egawa","given":"Masamitsu"},{"family":"Beyer","given":"Hans"},{"family":"Gasteiger","given":"Hubert A"}],"issued":{"date-parts":[["2018"]]}}},{"id":1747,"uris":["http://zotero.org/users/8284002/items/B9CRFDKK"],"itemData":{"id":1747,"type":"article-journal","container-title":"Journal of The Electrochemical Society","issue":"2","note":"number: 2","page":"399-406","title":"The Effect of Ethylene Carbonate and Salt Concentration on the Conductivity of Propylene Carbonate|Lithium Perchlorate Electrolytes","volume":"142","author":[{"family":"Chen","given":"H P"},{"family":"Fergus","given":"J W"},{"family":"Jang","given":"B Z"}],"issued":{"date-parts":[["2000"]]}}},{"id":1750,"uris":["http://zotero.org/users/8284002/items/XNAYD4JB"],"itemData":{"id":1750,"type":"article-journal","container-title":"Physical Chemistry Chemical Physics","DOI":"10.1039/C8CP04102D","issue":"40","note":"number: 40","page":"25701-25715","title":"Electrolyte solvents for high voltage lithium ion batteries: ion correlation and specific anion effects in adiponitrile","volume":"20","author":[{"family":"Krishnamoorthy","given":"Anand Narayanan"},{"family":"Oldiges","given":"Kristina"},{"family":"Winter","given":"Martin"},{"family":"Heuer","given":"Andreas"},{"family":"Cekic-Laskovic","given":"Isidora"},{"family":"Holm","given":"Christian"},{"family":"Smiatek","given":"Jens"}],"issued":{"date-parts":[["2018"]]}}},{"id":1789,"uris":["http://zotero.org/users/8284002/items/FSPXF36F"],"itemData":{"id":1789,"type":"article-journal","container-title":"The Journal of Physical Chemistry C","DOI":"10.1021/jp068691u","ISSN":"1932-7447, 1932-7455","issue":"20","journalAbbreviation":"J. Phys. Chem. C","language":"en","page":"7411-7421","source":"DOI.org (Crossref)","title":"Solvation Sheath of Li &lt;sup&gt;+&lt;/sup&gt; in Nonaqueous Electrolytes and Its Implication of Graphite/Electrolyte Interface Chemistry","volume":"111","author":[{"family":"Xu","given":"Kang"},{"family":"Lam","given":"Yiufai"},{"family":"Zhang","given":"Sheng S."},{"family":"Jow","given":"T. Richard"},{"family":"Curtis","given":"Timothy B."}],"issued":{"date-parts":[["2007",5,1]]}}}],"schema":"https://github.com/citation-style-language/schema/raw/master/csl-citation.json"} </w:instrText>
      </w:r>
      <w:r w:rsidR="009231D9" w:rsidRPr="00996185">
        <w:rPr>
          <w:rStyle w:val="None"/>
          <w:shd w:val="clear" w:color="auto" w:fill="FFFFFF"/>
        </w:rPr>
        <w:fldChar w:fldCharType="separate"/>
      </w:r>
      <w:r w:rsidR="00147125" w:rsidRPr="00996185">
        <w:rPr>
          <w:rFonts w:cs="Arial"/>
          <w:szCs w:val="24"/>
          <w:vertAlign w:val="superscript"/>
        </w:rPr>
        <w:t>[36,37,43–47]</w:t>
      </w:r>
      <w:r w:rsidR="009231D9" w:rsidRPr="00996185">
        <w:rPr>
          <w:rStyle w:val="None"/>
          <w:shd w:val="clear" w:color="auto" w:fill="FFFFFF"/>
        </w:rPr>
        <w:fldChar w:fldCharType="end"/>
      </w:r>
      <w:r w:rsidR="009231D9" w:rsidRPr="00996185">
        <w:rPr>
          <w:rStyle w:val="None"/>
          <w:vertAlign w:val="superscript"/>
        </w:rPr>
        <w:t xml:space="preserve"> </w:t>
      </w:r>
      <w:r w:rsidRPr="00996185">
        <w:rPr>
          <w:rStyle w:val="None"/>
          <w:shd w:val="clear" w:color="auto" w:fill="FFFFFF"/>
        </w:rPr>
        <w:t xml:space="preserve">In contrast, the activation energy term </w:t>
      </w:r>
      <m:oMath>
        <m:sSub>
          <m:sSubPr>
            <m:ctrlPr>
              <w:rPr>
                <w:rFonts w:ascii="Cambria Math" w:hAnsi="Cambria Math"/>
              </w:rPr>
            </m:ctrlPr>
          </m:sSubPr>
          <m:e>
            <m:r>
              <w:rPr>
                <w:rFonts w:ascii="Cambria Math" w:hAnsi="Cambria Math"/>
                <w:sz w:val="19"/>
                <w:szCs w:val="19"/>
              </w:rPr>
              <m:t>S</m:t>
            </m:r>
          </m:e>
          <m:sub>
            <m:r>
              <w:rPr>
                <w:rFonts w:ascii="Cambria Math" w:hAnsi="Cambria Math"/>
                <w:sz w:val="19"/>
                <w:szCs w:val="19"/>
              </w:rPr>
              <m:t>1</m:t>
            </m:r>
          </m:sub>
        </m:sSub>
        <m:r>
          <w:rPr>
            <w:rFonts w:ascii="Cambria Math" w:hAnsi="Cambria Math"/>
            <w:sz w:val="19"/>
            <w:szCs w:val="19"/>
          </w:rPr>
          <m:t>(X)</m:t>
        </m:r>
      </m:oMath>
      <w:r w:rsidRPr="00996185">
        <w:rPr>
          <w:rStyle w:val="None"/>
          <w:shd w:val="clear" w:color="auto" w:fill="FFFFFF"/>
        </w:rPr>
        <w:t xml:space="preserve"> and the curvature term </w:t>
      </w:r>
      <m:oMath>
        <m:sSub>
          <m:sSubPr>
            <m:ctrlPr>
              <w:rPr>
                <w:rFonts w:ascii="Cambria Math" w:hAnsi="Cambria Math"/>
              </w:rPr>
            </m:ctrlPr>
          </m:sSubPr>
          <m:e>
            <m:r>
              <w:rPr>
                <w:rFonts w:ascii="Cambria Math" w:hAnsi="Cambria Math"/>
                <w:sz w:val="19"/>
                <w:szCs w:val="19"/>
              </w:rPr>
              <m:t>S</m:t>
            </m:r>
          </m:e>
          <m:sub>
            <m:r>
              <w:rPr>
                <w:rFonts w:ascii="Cambria Math" w:hAnsi="Cambria Math"/>
                <w:sz w:val="19"/>
                <w:szCs w:val="19"/>
              </w:rPr>
              <m:t>2</m:t>
            </m:r>
          </m:sub>
        </m:sSub>
        <m:r>
          <w:rPr>
            <w:rFonts w:ascii="Cambria Math" w:hAnsi="Cambria Math"/>
            <w:sz w:val="19"/>
            <w:szCs w:val="19"/>
          </w:rPr>
          <m:t>(X)</m:t>
        </m:r>
      </m:oMath>
      <w:r w:rsidRPr="00996185">
        <w:rPr>
          <w:rStyle w:val="None"/>
          <w:shd w:val="clear" w:color="auto" w:fill="FFFFFF"/>
        </w:rPr>
        <w:t xml:space="preserve"> show a simple linear increase with increasing </w:t>
      </w:r>
      <w:r w:rsidR="009D6B7E" w:rsidRPr="00996185">
        <w:rPr>
          <w:rStyle w:val="None"/>
        </w:rPr>
        <w:t xml:space="preserve">conducting </w:t>
      </w:r>
      <w:r w:rsidRPr="00996185">
        <w:rPr>
          <w:rStyle w:val="None"/>
          <w:shd w:val="clear" w:color="auto" w:fill="FFFFFF"/>
        </w:rPr>
        <w:t>salt content. Higher values are observed for larger EC contents. Further, the resulting influence of temperature on the conductivity is shown in (</w:t>
      </w:r>
      <w:r w:rsidRPr="00996185">
        <w:rPr>
          <w:rStyle w:val="None"/>
          <w:b/>
          <w:bCs/>
          <w:shd w:val="clear" w:color="auto" w:fill="FFFFFF"/>
        </w:rPr>
        <w:t xml:space="preserve">Figure </w:t>
      </w:r>
      <w:r w:rsidR="00522E61" w:rsidRPr="00996185">
        <w:rPr>
          <w:rStyle w:val="None"/>
          <w:b/>
          <w:bCs/>
          <w:shd w:val="clear" w:color="auto" w:fill="FFFFFF"/>
        </w:rPr>
        <w:t xml:space="preserve">3 </w:t>
      </w:r>
      <w:r w:rsidRPr="00996185">
        <w:rPr>
          <w:rStyle w:val="None"/>
          <w:b/>
          <w:bCs/>
          <w:shd w:val="clear" w:color="auto" w:fill="FFFFFF"/>
        </w:rPr>
        <w:t>II A</w:t>
      </w:r>
      <w:r w:rsidRPr="00996185">
        <w:rPr>
          <w:rStyle w:val="None"/>
          <w:shd w:val="clear" w:color="auto" w:fill="FFFFFF"/>
        </w:rPr>
        <w:t>). The peak of the conductivity shifts to higher LiPF</w:t>
      </w:r>
      <w:r w:rsidRPr="00996185">
        <w:rPr>
          <w:rStyle w:val="None"/>
          <w:shd w:val="clear" w:color="auto" w:fill="FFFFFF"/>
          <w:vertAlign w:val="subscript"/>
        </w:rPr>
        <w:t xml:space="preserve">6 </w:t>
      </w:r>
      <w:r w:rsidRPr="00996185">
        <w:rPr>
          <w:rStyle w:val="None"/>
          <w:shd w:val="clear" w:color="auto" w:fill="FFFFFF"/>
        </w:rPr>
        <w:t xml:space="preserve">content with increasing temperature. </w:t>
      </w:r>
    </w:p>
    <w:p w14:paraId="27B8F94B" w14:textId="7D043937" w:rsidR="004A47D4" w:rsidRPr="00996185" w:rsidRDefault="00EB2A2E" w:rsidP="001F05BE">
      <w:pPr>
        <w:pStyle w:val="P1"/>
        <w:rPr>
          <w:rStyle w:val="None"/>
          <w:shd w:val="clear" w:color="auto" w:fill="FFFFFF"/>
        </w:rPr>
      </w:pPr>
      <w:r w:rsidRPr="00996185">
        <w:rPr>
          <w:rStyle w:val="None"/>
          <w:shd w:val="clear" w:color="auto" w:fill="FFFFFF"/>
        </w:rPr>
        <w:t>When analyzing the dependence on EC content, the ionic conductivity at the onset temperature increases with increasing EC content for lower LiPF</w:t>
      </w:r>
      <w:r w:rsidRPr="00996185">
        <w:rPr>
          <w:rStyle w:val="None"/>
          <w:shd w:val="clear" w:color="auto" w:fill="FFFFFF"/>
          <w:vertAlign w:val="subscript"/>
        </w:rPr>
        <w:t>6</w:t>
      </w:r>
      <w:r w:rsidRPr="00996185">
        <w:rPr>
          <w:rStyle w:val="None"/>
          <w:shd w:val="clear" w:color="auto" w:fill="FFFFFF"/>
        </w:rPr>
        <w:t xml:space="preserve"> content (x</w:t>
      </w:r>
      <w:r w:rsidRPr="00996185">
        <w:rPr>
          <w:rStyle w:val="None"/>
          <w:shd w:val="clear" w:color="auto" w:fill="FFFFFF"/>
          <w:vertAlign w:val="subscript"/>
        </w:rPr>
        <w:t>LiPF6</w:t>
      </w:r>
      <w:r w:rsidRPr="00996185">
        <w:rPr>
          <w:rStyle w:val="None"/>
          <w:shd w:val="clear" w:color="auto" w:fill="FFFFFF"/>
        </w:rPr>
        <w:t xml:space="preserve"> = 0.05), whereas the trend reverses at higher </w:t>
      </w:r>
      <w:r w:rsidR="009D6B7E" w:rsidRPr="00996185">
        <w:rPr>
          <w:rStyle w:val="None"/>
        </w:rPr>
        <w:t xml:space="preserve">conducting </w:t>
      </w:r>
      <w:r w:rsidRPr="00996185">
        <w:rPr>
          <w:rStyle w:val="None"/>
          <w:shd w:val="clear" w:color="auto" w:fill="FFFFFF"/>
        </w:rPr>
        <w:t>salt content (x</w:t>
      </w:r>
      <w:r w:rsidRPr="00996185">
        <w:rPr>
          <w:rStyle w:val="None"/>
          <w:shd w:val="clear" w:color="auto" w:fill="FFFFFF"/>
          <w:vertAlign w:val="subscript"/>
        </w:rPr>
        <w:t>LiPF6</w:t>
      </w:r>
      <w:r w:rsidRPr="00996185">
        <w:rPr>
          <w:rStyle w:val="None"/>
          <w:shd w:val="clear" w:color="auto" w:fill="FFFFFF"/>
        </w:rPr>
        <w:t xml:space="preserve"> = 0.16). This directly shows the presence of significant LiPF</w:t>
      </w:r>
      <w:r w:rsidRPr="00996185">
        <w:rPr>
          <w:rStyle w:val="None"/>
          <w:shd w:val="clear" w:color="auto" w:fill="FFFFFF"/>
          <w:vertAlign w:val="subscript"/>
        </w:rPr>
        <w:t>6</w:t>
      </w:r>
      <w:r w:rsidRPr="00996185">
        <w:rPr>
          <w:rStyle w:val="None"/>
          <w:shd w:val="clear" w:color="auto" w:fill="FFFFFF"/>
        </w:rPr>
        <w:t xml:space="preserve"> and EC content contributions to the conductivity at the onset temperature which furthermore are coupled (see SI Table S3). Thus, there is a strong impact of the LiPF</w:t>
      </w:r>
      <w:r w:rsidRPr="00996185">
        <w:rPr>
          <w:rStyle w:val="None"/>
          <w:shd w:val="clear" w:color="auto" w:fill="FFFFFF"/>
          <w:vertAlign w:val="subscript"/>
        </w:rPr>
        <w:t>6</w:t>
      </w:r>
      <w:r w:rsidRPr="00996185">
        <w:rPr>
          <w:rStyle w:val="None"/>
          <w:shd w:val="clear" w:color="auto" w:fill="FFFFFF"/>
        </w:rPr>
        <w:t xml:space="preserve"> content on the EC dependent activation energy and curvature (</w:t>
      </w:r>
      <w:r w:rsidRPr="00996185">
        <w:rPr>
          <w:rStyle w:val="None"/>
          <w:b/>
          <w:bCs/>
          <w:shd w:val="clear" w:color="auto" w:fill="FFFFFF"/>
        </w:rPr>
        <w:t xml:space="preserve">Figure </w:t>
      </w:r>
      <w:r w:rsidR="00522E61" w:rsidRPr="00996185">
        <w:rPr>
          <w:rStyle w:val="None"/>
          <w:b/>
          <w:bCs/>
          <w:shd w:val="clear" w:color="auto" w:fill="FFFFFF"/>
        </w:rPr>
        <w:t xml:space="preserve">3 </w:t>
      </w:r>
      <w:r w:rsidRPr="00996185">
        <w:rPr>
          <w:rStyle w:val="None"/>
          <w:b/>
          <w:bCs/>
          <w:shd w:val="clear" w:color="auto" w:fill="FFFFFF"/>
        </w:rPr>
        <w:t>I</w:t>
      </w:r>
      <w:r w:rsidRPr="00996185">
        <w:rPr>
          <w:rStyle w:val="None"/>
          <w:shd w:val="clear" w:color="auto" w:fill="FFFFFF"/>
        </w:rPr>
        <w:t>, right). Since the activation energy is just shifted, the impact is not coupled. Also, the dependence on the LiPF</w:t>
      </w:r>
      <w:r w:rsidRPr="00996185">
        <w:rPr>
          <w:rStyle w:val="None"/>
          <w:shd w:val="clear" w:color="auto" w:fill="FFFFFF"/>
          <w:vertAlign w:val="subscript"/>
        </w:rPr>
        <w:t xml:space="preserve">6 </w:t>
      </w:r>
      <w:r w:rsidRPr="00996185">
        <w:rPr>
          <w:rStyle w:val="None"/>
          <w:shd w:val="clear" w:color="auto" w:fill="FFFFFF"/>
        </w:rPr>
        <w:t>concentration is more relevant for the transport properties than the replacement of EMC by EC and, e. g. the resulting variation of the dielectric constant.</w:t>
      </w:r>
      <w:r w:rsidR="009231D9" w:rsidRPr="00996185">
        <w:rPr>
          <w:rStyle w:val="None"/>
          <w:shd w:val="clear" w:color="auto" w:fill="FFFFFF"/>
        </w:rPr>
        <w:fldChar w:fldCharType="begin"/>
      </w:r>
      <w:r w:rsidR="00147125" w:rsidRPr="00996185">
        <w:rPr>
          <w:rStyle w:val="None"/>
          <w:shd w:val="clear" w:color="auto" w:fill="FFFFFF"/>
        </w:rPr>
        <w:instrText xml:space="preserve"> ADDIN ZOTERO_ITEM CSL_CITATION {"citationID":"FrueWNcw","properties":{"formattedCitation":"\\super [48,49]\\nosupersub{}","plainCitation":"[48,49]","noteIndex":0},"citationItems":[{"id":1827,"uris":["http://zotero.org/users/8284002/items/A6XMZUFF"],"itemData":{"id":1827,"type":"article-journal","container-title":"Journal of The Electrochemical Society","DOI":"10.1149/1.1872737","ISSN":"00134651","issue":"5","journalAbbreviation":"J. Electrochem. Soc.","language":"en","page":"A882","source":"DOI.org (Crossref)","title":"Transport Properties of LiPF[sub 6]-Based Li-Ion Battery Electrolytes","volume":"152","author":[{"family":"Valøen","given":"Lars Ole"},{"family":"Reimers","given":"Jan N."}],"issued":{"date-parts":[["2005"]]}}},{"id":1828,"uris":["http://zotero.org/users/8284002/items/G83QY67S"],"itemData":{"id":1828,"type":"article-journal","container-title":"Electrochimica Acta","DOI":"10.1016/j.electacta.2008.04.023","ISSN":"00134686","issue":"22","journalAbbreviation":"Electrochimica Acta","language":"en","page":"6356-6365","source":"DOI.org (Crossref)","title":"Electrochemical characterisation and modelling of the mass transport phenomena in LiPF6–EC–EMC electrolyte","volume":"53","author":[{"family":"Nyman","given":"Andreas"},{"family":"Behm","given":"Mårten"},{"family":"Lindbergh","given":"Göran"}],"issued":{"date-parts":[["2008",9]]}}}],"schema":"https://github.com/citation-style-language/schema/raw/master/csl-citation.json"} </w:instrText>
      </w:r>
      <w:r w:rsidR="009231D9" w:rsidRPr="00996185">
        <w:rPr>
          <w:rStyle w:val="None"/>
          <w:shd w:val="clear" w:color="auto" w:fill="FFFFFF"/>
        </w:rPr>
        <w:fldChar w:fldCharType="separate"/>
      </w:r>
      <w:r w:rsidR="00147125" w:rsidRPr="00996185">
        <w:rPr>
          <w:rFonts w:cs="Arial"/>
          <w:szCs w:val="24"/>
          <w:vertAlign w:val="superscript"/>
        </w:rPr>
        <w:t>[48,49]</w:t>
      </w:r>
      <w:r w:rsidR="009231D9" w:rsidRPr="00996185">
        <w:rPr>
          <w:rStyle w:val="None"/>
          <w:shd w:val="clear" w:color="auto" w:fill="FFFFFF"/>
        </w:rPr>
        <w:fldChar w:fldCharType="end"/>
      </w:r>
      <w:r w:rsidRPr="00996185">
        <w:rPr>
          <w:rStyle w:val="None"/>
          <w:shd w:val="clear" w:color="auto" w:fill="FFFFFF"/>
        </w:rPr>
        <w:t xml:space="preserve"> Consistent with the properties of the activation energy in </w:t>
      </w:r>
      <w:r w:rsidRPr="00996185">
        <w:rPr>
          <w:rStyle w:val="None"/>
          <w:b/>
          <w:bCs/>
          <w:shd w:val="clear" w:color="auto" w:fill="FFFFFF"/>
        </w:rPr>
        <w:t xml:space="preserve">Figure </w:t>
      </w:r>
      <w:r w:rsidR="00522E61" w:rsidRPr="00996185">
        <w:rPr>
          <w:rStyle w:val="None"/>
          <w:b/>
          <w:bCs/>
          <w:shd w:val="clear" w:color="auto" w:fill="FFFFFF"/>
        </w:rPr>
        <w:t xml:space="preserve">3 </w:t>
      </w:r>
      <w:r w:rsidRPr="00996185">
        <w:rPr>
          <w:rStyle w:val="None"/>
          <w:b/>
          <w:bCs/>
          <w:shd w:val="clear" w:color="auto" w:fill="FFFFFF"/>
        </w:rPr>
        <w:t>I</w:t>
      </w:r>
      <w:r w:rsidRPr="00996185">
        <w:rPr>
          <w:rStyle w:val="None"/>
          <w:shd w:val="clear" w:color="auto" w:fill="FFFFFF"/>
        </w:rPr>
        <w:t xml:space="preserve"> right, the small peak in conductivity shifts to smaller values of the EC content at lower temperatures.</w:t>
      </w:r>
      <w:r w:rsidR="009231D9" w:rsidRPr="00996185">
        <w:rPr>
          <w:rStyle w:val="None"/>
          <w:vertAlign w:val="superscript"/>
        </w:rPr>
        <w:fldChar w:fldCharType="begin"/>
      </w:r>
      <w:r w:rsidR="00147125" w:rsidRPr="00996185">
        <w:rPr>
          <w:rStyle w:val="None"/>
          <w:vertAlign w:val="superscript"/>
        </w:rPr>
        <w:instrText xml:space="preserve"> ADDIN ZOTERO_ITEM CSL_CITATION {"citationID":"xunXCZnv","properties":{"formattedCitation":"\\super [36]\\nosupersub{}","plainCitation":"[36]","noteIndex":0},"citationItems":[{"id":1743,"uris":["http://zotero.org/users/8284002/items/8WQ2D3U5"],"itemData":{"id":1743,"type":"article-journal","container-title":"Journal of The Electrochemical Society","DOI":"10.1149/1.1403730","issue":"10","note":"number: 10","page":"A1196-1204","title":"Change of Conductivity with Salt Content, Solvent Composition, and Temperature for Electrolytes of LiPF 6 in Ethylene Carbonate-Ethyl Methyl Carbonate","volume":"148","author":[{"family":"Ding","given":"M S"},{"family":"Xu","given":"Kang"},{"family":"Zhang","given":"Shengshui"},{"family":"Amine","given":"Khalil"},{"family":"Henriksen","given":"G L"},{"family":"Jow","given":"Richard"}],"issued":{"date-parts":[["2001"]]}}}],"schema":"https://github.com/citation-style-language/schema/raw/master/csl-citation.json"} </w:instrText>
      </w:r>
      <w:r w:rsidR="009231D9" w:rsidRPr="00996185">
        <w:rPr>
          <w:rStyle w:val="None"/>
          <w:vertAlign w:val="superscript"/>
        </w:rPr>
        <w:fldChar w:fldCharType="separate"/>
      </w:r>
      <w:r w:rsidR="00147125" w:rsidRPr="00996185">
        <w:rPr>
          <w:rFonts w:cs="Arial"/>
          <w:szCs w:val="24"/>
          <w:vertAlign w:val="superscript"/>
        </w:rPr>
        <w:t>[36]</w:t>
      </w:r>
      <w:r w:rsidR="009231D9" w:rsidRPr="00996185">
        <w:rPr>
          <w:rStyle w:val="None"/>
          <w:vertAlign w:val="superscript"/>
        </w:rPr>
        <w:fldChar w:fldCharType="end"/>
      </w:r>
    </w:p>
    <w:p w14:paraId="7E407980" w14:textId="32E6EDD8" w:rsidR="004A47D4" w:rsidRPr="00996185" w:rsidRDefault="00EB2A2E" w:rsidP="001F05BE">
      <w:pPr>
        <w:pStyle w:val="P1"/>
        <w:rPr>
          <w:rStyle w:val="None"/>
          <w:shd w:val="clear" w:color="auto" w:fill="FFFFFF"/>
        </w:rPr>
      </w:pPr>
      <w:r w:rsidRPr="00996185">
        <w:rPr>
          <w:rStyle w:val="None"/>
          <w:shd w:val="clear" w:color="auto" w:fill="FFFFFF"/>
        </w:rPr>
        <w:t xml:space="preserve">Finally, the VC content does not play any role in bulk ionic conductivity for fixed EC/EMC ratio as shown in </w:t>
      </w:r>
      <w:r w:rsidRPr="00996185">
        <w:rPr>
          <w:rStyle w:val="None"/>
          <w:b/>
          <w:bCs/>
          <w:shd w:val="clear" w:color="auto" w:fill="FFFFFF"/>
        </w:rPr>
        <w:t xml:space="preserve">Figure </w:t>
      </w:r>
      <w:r w:rsidR="00522E61" w:rsidRPr="00996185">
        <w:rPr>
          <w:rStyle w:val="None"/>
          <w:b/>
          <w:bCs/>
          <w:shd w:val="clear" w:color="auto" w:fill="FFFFFF"/>
        </w:rPr>
        <w:t xml:space="preserve">3 </w:t>
      </w:r>
      <w:r w:rsidRPr="00996185">
        <w:rPr>
          <w:rStyle w:val="None"/>
          <w:b/>
          <w:bCs/>
          <w:shd w:val="clear" w:color="auto" w:fill="FFFFFF"/>
        </w:rPr>
        <w:t>II C</w:t>
      </w:r>
      <w:r w:rsidRPr="00996185">
        <w:rPr>
          <w:rStyle w:val="None"/>
          <w:shd w:val="clear" w:color="auto" w:fill="FFFFFF"/>
        </w:rPr>
        <w:t xml:space="preserve"> (see also SI Table S6). This is a remarkable result, given the similar ring structure of EC and VC. However, VC is known to play a pivotal role in </w:t>
      </w:r>
      <w:proofErr w:type="spellStart"/>
      <w:r w:rsidRPr="00996185">
        <w:rPr>
          <w:rStyle w:val="None"/>
          <w:shd w:val="clear" w:color="auto" w:fill="FFFFFF"/>
        </w:rPr>
        <w:t>electrolyte|electrode</w:t>
      </w:r>
      <w:proofErr w:type="spellEnd"/>
      <w:r w:rsidRPr="00996185">
        <w:rPr>
          <w:rStyle w:val="None"/>
          <w:shd w:val="clear" w:color="auto" w:fill="FFFFFF"/>
        </w:rPr>
        <w:t xml:space="preserve"> interfacial interactions.</w:t>
      </w:r>
      <w:r w:rsidR="009231D9" w:rsidRPr="00996185">
        <w:rPr>
          <w:rStyle w:val="None"/>
          <w:vertAlign w:val="superscript"/>
        </w:rPr>
        <w:fldChar w:fldCharType="begin"/>
      </w:r>
      <w:r w:rsidR="00147125" w:rsidRPr="00996185">
        <w:rPr>
          <w:rStyle w:val="None"/>
          <w:vertAlign w:val="superscript"/>
        </w:rPr>
        <w:instrText xml:space="preserve"> ADDIN ZOTERO_ITEM CSL_CITATION {"citationID":"KLlOF3Ze","properties":{"formattedCitation":"\\super [50,51]\\nosupersub{}","plainCitation":"[50,51]","noteIndex":0},"citationItems":[{"id":1829,"uris":["http://zotero.org/users/8284002/items/ZZW8ID3C"],"itemData":{"id":1829,"type":"article-journal","container-title":"Electrochimica Acta","DOI":"10.1016/S0013-4686(01)00858-1","ISSN":"00134686","issue":"9","journalAbbreviation":"Electrochimica Acta","language":"en","page":"1423-1439","source":"DOI.org (Crossref)","title":"On the use of vinylene carbonate (VC) as an additive to electrolyte solutions for Li-ion batteries","volume":"47","author":[{"family":"Aurbach","given":"D"},{"family":"Gamolsky","given":"K"},{"family":"Markovsky","given":"B"},{"family":"Gofer","given":"Y"},{"family":"Schmidt","given":"M"},{"family":"Heider","given":"U"}],"issued":{"date-parts":[["2002",2]]}}},{"id":1841,"uris":["http://zotero.org/users/8284002/items/YJIPK4SV"],"itemData":{"id":1841,"type":"article-journal","container-title":"Journal of Power Sources","DOI":"10.1016/j.jpowsour.2016.09.100","ISSN":"03787753","journalAbbreviation":"Journal of Power Sources","language":"en","page":"60-71","source":"DOI.org (Crossref)","title":"Investigations on the electrochemical decomposition of the electrolyte additive vinylene carbonate in Li metal half cells and lithium ion full cells","volume":"332","author":[{"family":"Qian","given":"Yunxian"},{"family":"Schultz","given":"Carola"},{"family":"Niehoff","given":"Philip"},{"family":"Schwieters","given":"Timo"},{"family":"Nowak","given":"Sascha"},{"family":"Schappacher","given":"Falko M."},{"family":"Winter","given":"Martin"}],"issued":{"date-parts":[["2016",11]]}}}],"schema":"https://github.com/citation-style-language/schema/raw/master/csl-citation.json"} </w:instrText>
      </w:r>
      <w:r w:rsidR="009231D9" w:rsidRPr="00996185">
        <w:rPr>
          <w:rStyle w:val="None"/>
          <w:vertAlign w:val="superscript"/>
        </w:rPr>
        <w:fldChar w:fldCharType="separate"/>
      </w:r>
      <w:r w:rsidR="00147125" w:rsidRPr="00996185">
        <w:rPr>
          <w:rFonts w:cs="Arial"/>
          <w:szCs w:val="24"/>
          <w:vertAlign w:val="superscript"/>
        </w:rPr>
        <w:t>[50,51]</w:t>
      </w:r>
      <w:r w:rsidR="009231D9" w:rsidRPr="00996185">
        <w:rPr>
          <w:rStyle w:val="None"/>
          <w:vertAlign w:val="superscript"/>
        </w:rPr>
        <w:fldChar w:fldCharType="end"/>
      </w:r>
    </w:p>
    <w:p w14:paraId="0A8219BE" w14:textId="77777777" w:rsidR="004A47D4" w:rsidRPr="00996185" w:rsidRDefault="004A47D4" w:rsidP="001F05BE">
      <w:pPr>
        <w:pStyle w:val="P1"/>
        <w:rPr>
          <w:rStyle w:val="None"/>
          <w:shd w:val="clear" w:color="auto" w:fill="FFFFFF"/>
        </w:rPr>
        <w:sectPr w:rsidR="004A47D4" w:rsidRPr="00996185">
          <w:type w:val="continuous"/>
          <w:pgSz w:w="11900" w:h="16840"/>
          <w:pgMar w:top="1134" w:right="936" w:bottom="1134" w:left="936" w:header="709" w:footer="0" w:gutter="0"/>
          <w:cols w:num="2" w:space="284"/>
          <w:docGrid w:linePitch="360"/>
        </w:sectPr>
      </w:pPr>
    </w:p>
    <w:p w14:paraId="3C22336A" w14:textId="0860F37E" w:rsidR="004A47D4" w:rsidRPr="00996185" w:rsidRDefault="00EB2A2E" w:rsidP="001F05BE">
      <w:pPr>
        <w:pStyle w:val="VAFigureCaption"/>
        <w:spacing w:line="240" w:lineRule="auto"/>
        <w:rPr>
          <w:rStyle w:val="None"/>
          <w:rFonts w:ascii="Arial" w:eastAsia="Arial" w:hAnsi="Arial" w:cs="Arial"/>
          <w:sz w:val="14"/>
          <w:szCs w:val="14"/>
          <w:shd w:val="clear" w:color="auto" w:fill="FFFFFF"/>
        </w:rPr>
      </w:pPr>
      <w:r w:rsidRPr="00996185">
        <w:rPr>
          <w:rStyle w:val="None"/>
          <w:rFonts w:ascii="Arial" w:eastAsia="Arial" w:hAnsi="Arial" w:cs="Arial"/>
          <w:noProof/>
          <w:sz w:val="14"/>
          <w:szCs w:val="14"/>
          <w:shd w:val="clear" w:color="auto" w:fill="FFFFFF"/>
          <w:lang w:eastAsia="en-US"/>
        </w:rPr>
        <w:lastRenderedPageBreak/>
        <mc:AlternateContent>
          <mc:Choice Requires="wpg">
            <w:drawing>
              <wp:anchor distT="57150" distB="57150" distL="57150" distR="57150" simplePos="0" relativeHeight="251660288" behindDoc="0" locked="0" layoutInCell="1" allowOverlap="1" wp14:anchorId="559CE5B1" wp14:editId="7F2496AE">
                <wp:simplePos x="0" y="0"/>
                <wp:positionH relativeFrom="page">
                  <wp:posOffset>594359</wp:posOffset>
                </wp:positionH>
                <wp:positionV relativeFrom="line">
                  <wp:posOffset>272</wp:posOffset>
                </wp:positionV>
                <wp:extent cx="6371591" cy="5992496"/>
                <wp:effectExtent l="0" t="0" r="0" b="0"/>
                <wp:wrapSquare wrapText="bothSides"/>
                <wp:docPr id="7" name="officeArt object" descr="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Grafik 11" descr="Grafik 11"/>
                        <pic:cNvPicPr>
                          <a:picLocks noChangeAspect="1"/>
                        </pic:cNvPicPr>
                      </pic:nvPicPr>
                      <pic:blipFill>
                        <a:blip r:embed="rId20"/>
                        <a:stretch/>
                      </pic:blipFill>
                      <pic:spPr bwMode="auto">
                        <a:xfrm>
                          <a:off x="0" y="0"/>
                          <a:ext cx="6371591" cy="5992496"/>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4.5pt;mso-wrap-distance-top:4.5pt;mso-wrap-distance-right:4.5pt;mso-wrap-distance-bottom:4.5pt;z-index:251660288;o:allowoverlap:true;o:allowincell:true;mso-position-horizontal-relative:page;margin-left:46.8pt;mso-position-horizontal:absolute;mso-position-vertical-relative:line;margin-top:0.0pt;mso-position-vertical:absolute;width:501.7pt;height:471.9pt;" stroked="f" strokeweight="1.00pt">
                <v:path textboxrect="0,0,0,0"/>
                <v:imagedata r:id="rId21" o:title=""/>
              </v:shape>
            </w:pict>
          </mc:Fallback>
        </mc:AlternateContent>
      </w:r>
      <w:r w:rsidRPr="00996185">
        <w:rPr>
          <w:rStyle w:val="None"/>
          <w:rFonts w:ascii="Arial" w:hAnsi="Arial"/>
          <w:b/>
          <w:bCs/>
          <w:sz w:val="14"/>
          <w:szCs w:val="14"/>
          <w:shd w:val="clear" w:color="auto" w:fill="FFFFFF"/>
        </w:rPr>
        <w:t xml:space="preserve">Figure </w:t>
      </w:r>
      <w:r w:rsidR="00522E61" w:rsidRPr="00996185">
        <w:rPr>
          <w:rStyle w:val="None"/>
          <w:rFonts w:ascii="Arial" w:hAnsi="Arial"/>
          <w:b/>
          <w:bCs/>
          <w:sz w:val="14"/>
          <w:szCs w:val="14"/>
          <w:shd w:val="clear" w:color="auto" w:fill="FFFFFF"/>
        </w:rPr>
        <w:t>3</w:t>
      </w:r>
      <w:r w:rsidRPr="00996185">
        <w:rPr>
          <w:rStyle w:val="None"/>
          <w:rFonts w:ascii="Arial" w:hAnsi="Arial"/>
          <w:b/>
          <w:bCs/>
          <w:sz w:val="14"/>
          <w:szCs w:val="14"/>
          <w:shd w:val="clear" w:color="auto" w:fill="FFFFFF"/>
        </w:rPr>
        <w:t>.</w:t>
      </w:r>
      <w:r w:rsidRPr="00996185">
        <w:rPr>
          <w:rStyle w:val="None"/>
          <w:rFonts w:ascii="Arial" w:hAnsi="Arial"/>
          <w:sz w:val="14"/>
          <w:szCs w:val="14"/>
          <w:shd w:val="clear" w:color="auto" w:fill="FFFFFF"/>
        </w:rPr>
        <w:t xml:space="preserve"> I) Predictions for the generalized Arrhenius fitting parameters </w:t>
      </w:r>
      <m:oMath>
        <m:sSub>
          <m:sSubPr>
            <m:ctrlPr>
              <w:rPr>
                <w:rFonts w:ascii="Cambria Math" w:hAnsi="Cambria Math"/>
              </w:rPr>
            </m:ctrlPr>
          </m:sSubPr>
          <m:e>
            <m:r>
              <w:rPr>
                <w:rFonts w:ascii="Cambria Math" w:hAnsi="Cambria Math"/>
                <w:sz w:val="16"/>
                <w:szCs w:val="16"/>
              </w:rPr>
              <m:t>S</m:t>
            </m:r>
          </m:e>
          <m:sub>
            <m:r>
              <w:rPr>
                <w:rFonts w:ascii="Cambria Math" w:hAnsi="Cambria Math"/>
                <w:sz w:val="16"/>
                <w:szCs w:val="16"/>
              </w:rPr>
              <m:t>i</m:t>
            </m:r>
          </m:sub>
        </m:sSub>
        <m:r>
          <w:rPr>
            <w:rFonts w:ascii="Cambria Math" w:hAnsi="Cambria Math"/>
            <w:sz w:val="16"/>
            <w:szCs w:val="16"/>
          </w:rPr>
          <m:t>(X)</m:t>
        </m:r>
      </m:oMath>
      <w:r w:rsidRPr="00996185">
        <w:rPr>
          <w:rStyle w:val="None"/>
          <w:rFonts w:ascii="Arial" w:hAnsi="Arial"/>
          <w:sz w:val="14"/>
          <w:szCs w:val="14"/>
          <w:shd w:val="clear" w:color="auto" w:fill="FFFFFF"/>
        </w:rPr>
        <w:t xml:space="preserve"> (</w:t>
      </w:r>
      <m:oMath>
        <m:sSub>
          <m:sSubPr>
            <m:ctrlPr>
              <w:rPr>
                <w:rFonts w:ascii="Cambria Math" w:hAnsi="Cambria Math"/>
              </w:rPr>
            </m:ctrlPr>
          </m:sSubPr>
          <m:e>
            <m:r>
              <w:rPr>
                <w:rFonts w:ascii="Cambria Math" w:hAnsi="Cambria Math"/>
                <w:sz w:val="16"/>
                <w:szCs w:val="16"/>
              </w:rPr>
              <m:t>S</m:t>
            </m:r>
          </m:e>
          <m:sub>
            <m:r>
              <w:rPr>
                <w:rFonts w:ascii="Cambria Math" w:hAnsi="Cambria Math"/>
                <w:sz w:val="16"/>
                <w:szCs w:val="16"/>
              </w:rPr>
              <m:t>0</m:t>
            </m:r>
          </m:sub>
        </m:sSub>
        <m:r>
          <w:rPr>
            <w:rFonts w:ascii="Cambria Math" w:hAnsi="Cambria Math"/>
            <w:sz w:val="16"/>
            <w:szCs w:val="16"/>
          </w:rPr>
          <m:t>,</m:t>
        </m:r>
        <m:sSub>
          <m:sSubPr>
            <m:ctrlPr>
              <w:rPr>
                <w:rFonts w:ascii="Cambria Math" w:hAnsi="Cambria Math"/>
              </w:rPr>
            </m:ctrlPr>
          </m:sSubPr>
          <m:e>
            <m:r>
              <w:rPr>
                <w:rFonts w:ascii="Cambria Math" w:hAnsi="Cambria Math"/>
                <w:sz w:val="16"/>
                <w:szCs w:val="16"/>
              </w:rPr>
              <m:t>S</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rPr>
            </m:ctrlPr>
          </m:sSubPr>
          <m:e>
            <m:r>
              <w:rPr>
                <w:rFonts w:ascii="Cambria Math" w:hAnsi="Cambria Math"/>
                <w:sz w:val="16"/>
                <w:szCs w:val="16"/>
              </w:rPr>
              <m:t>S</m:t>
            </m:r>
          </m:e>
          <m:sub>
            <m:r>
              <w:rPr>
                <w:rFonts w:ascii="Cambria Math" w:hAnsi="Cambria Math"/>
                <w:sz w:val="16"/>
                <w:szCs w:val="16"/>
              </w:rPr>
              <m:t>2</m:t>
            </m:r>
          </m:sub>
        </m:sSub>
      </m:oMath>
      <w:r w:rsidRPr="00996185">
        <w:rPr>
          <w:rStyle w:val="None"/>
          <w:rFonts w:ascii="Arial" w:hAnsi="Arial"/>
          <w:sz w:val="14"/>
          <w:szCs w:val="14"/>
          <w:shd w:val="clear" w:color="auto" w:fill="FFFFFF"/>
        </w:rPr>
        <w:t>) with respect to x</w:t>
      </w:r>
      <w:r w:rsidRPr="00996185">
        <w:rPr>
          <w:rStyle w:val="None"/>
          <w:rFonts w:ascii="Arial" w:hAnsi="Arial"/>
          <w:sz w:val="14"/>
          <w:szCs w:val="14"/>
          <w:shd w:val="clear" w:color="auto" w:fill="FFFFFF"/>
          <w:vertAlign w:val="subscript"/>
        </w:rPr>
        <w:t>LiPF6</w:t>
      </w:r>
      <w:r w:rsidRPr="00996185">
        <w:rPr>
          <w:rStyle w:val="None"/>
          <w:rFonts w:ascii="Arial" w:hAnsi="Arial"/>
          <w:sz w:val="14"/>
          <w:szCs w:val="14"/>
          <w:shd w:val="clear" w:color="auto" w:fill="FFFFFF"/>
        </w:rPr>
        <w:t xml:space="preserve"> (left) and x</w:t>
      </w:r>
      <w:r w:rsidRPr="00996185">
        <w:rPr>
          <w:rStyle w:val="None"/>
          <w:rFonts w:ascii="Arial" w:hAnsi="Arial"/>
          <w:sz w:val="14"/>
          <w:szCs w:val="14"/>
          <w:shd w:val="clear" w:color="auto" w:fill="FFFFFF"/>
          <w:vertAlign w:val="subscript"/>
        </w:rPr>
        <w:t xml:space="preserve">EC </w:t>
      </w:r>
      <w:r w:rsidRPr="00996185">
        <w:rPr>
          <w:rStyle w:val="None"/>
          <w:rFonts w:ascii="Arial" w:hAnsi="Arial"/>
          <w:sz w:val="14"/>
          <w:szCs w:val="14"/>
          <w:shd w:val="clear" w:color="auto" w:fill="FFFFFF"/>
        </w:rPr>
        <w:t>content (both for x</w:t>
      </w:r>
      <w:r w:rsidRPr="00996185">
        <w:rPr>
          <w:rStyle w:val="None"/>
          <w:rFonts w:ascii="Arial" w:hAnsi="Arial"/>
          <w:sz w:val="14"/>
          <w:szCs w:val="14"/>
          <w:shd w:val="clear" w:color="auto" w:fill="FFFFFF"/>
          <w:vertAlign w:val="subscript"/>
        </w:rPr>
        <w:t>VC</w:t>
      </w:r>
      <w:r w:rsidRPr="00996185">
        <w:rPr>
          <w:rStyle w:val="None"/>
          <w:rFonts w:ascii="Arial" w:hAnsi="Arial"/>
          <w:sz w:val="14"/>
          <w:szCs w:val="14"/>
          <w:shd w:val="clear" w:color="auto" w:fill="FFFFFF"/>
        </w:rPr>
        <w:t>=0.0) (right). II) The change of ionic conductivity with LiPF</w:t>
      </w:r>
      <w:r w:rsidRPr="00996185">
        <w:rPr>
          <w:rStyle w:val="None"/>
          <w:rFonts w:ascii="Arial" w:hAnsi="Arial"/>
          <w:sz w:val="14"/>
          <w:szCs w:val="14"/>
          <w:shd w:val="clear" w:color="auto" w:fill="FFFFFF"/>
          <w:vertAlign w:val="subscript"/>
        </w:rPr>
        <w:t>6</w:t>
      </w:r>
      <w:r w:rsidRPr="00996185">
        <w:rPr>
          <w:rStyle w:val="None"/>
          <w:rFonts w:ascii="Arial" w:hAnsi="Arial"/>
          <w:sz w:val="14"/>
          <w:szCs w:val="14"/>
          <w:shd w:val="clear" w:color="auto" w:fill="FFFFFF"/>
        </w:rPr>
        <w:t xml:space="preserve"> content (A) for fixed [(x</w:t>
      </w:r>
      <w:r w:rsidRPr="00996185">
        <w:rPr>
          <w:rStyle w:val="None"/>
          <w:rFonts w:ascii="Arial" w:hAnsi="Arial"/>
          <w:sz w:val="14"/>
          <w:szCs w:val="14"/>
          <w:shd w:val="clear" w:color="auto" w:fill="FFFFFF"/>
          <w:vertAlign w:val="subscript"/>
        </w:rPr>
        <w:t>VC</w:t>
      </w:r>
      <w:r w:rsidRPr="00996185">
        <w:rPr>
          <w:rStyle w:val="None"/>
          <w:rFonts w:ascii="Arial" w:hAnsi="Arial"/>
          <w:sz w:val="14"/>
          <w:szCs w:val="14"/>
          <w:shd w:val="clear" w:color="auto" w:fill="FFFFFF"/>
        </w:rPr>
        <w:t>=0.0, x</w:t>
      </w:r>
      <w:r w:rsidRPr="00996185">
        <w:rPr>
          <w:rStyle w:val="None"/>
          <w:rFonts w:ascii="Arial" w:hAnsi="Arial"/>
          <w:sz w:val="14"/>
          <w:szCs w:val="14"/>
          <w:shd w:val="clear" w:color="auto" w:fill="FFFFFF"/>
          <w:vertAlign w:val="subscript"/>
        </w:rPr>
        <w:t>EC</w:t>
      </w:r>
      <w:r w:rsidRPr="00996185">
        <w:rPr>
          <w:rStyle w:val="None"/>
          <w:rFonts w:ascii="Arial" w:hAnsi="Arial"/>
          <w:sz w:val="14"/>
          <w:szCs w:val="14"/>
          <w:shd w:val="clear" w:color="auto" w:fill="FFFFFF"/>
        </w:rPr>
        <w:t>=0.336)] EC content (B) for fixed [(x</w:t>
      </w:r>
      <w:r w:rsidRPr="00996185">
        <w:rPr>
          <w:rStyle w:val="None"/>
          <w:rFonts w:ascii="Arial" w:hAnsi="Arial"/>
          <w:sz w:val="14"/>
          <w:szCs w:val="14"/>
          <w:shd w:val="clear" w:color="auto" w:fill="FFFFFF"/>
          <w:vertAlign w:val="subscript"/>
        </w:rPr>
        <w:t>VC</w:t>
      </w:r>
      <w:r w:rsidRPr="00996185">
        <w:rPr>
          <w:rStyle w:val="None"/>
          <w:rFonts w:ascii="Arial" w:hAnsi="Arial"/>
          <w:sz w:val="14"/>
          <w:szCs w:val="14"/>
          <w:shd w:val="clear" w:color="auto" w:fill="FFFFFF"/>
        </w:rPr>
        <w:t>=0.0, x</w:t>
      </w:r>
      <w:r w:rsidRPr="00996185">
        <w:rPr>
          <w:rStyle w:val="None"/>
          <w:rFonts w:ascii="Arial" w:hAnsi="Arial"/>
          <w:sz w:val="14"/>
          <w:szCs w:val="14"/>
          <w:shd w:val="clear" w:color="auto" w:fill="FFFFFF"/>
          <w:vertAlign w:val="subscript"/>
        </w:rPr>
        <w:t>LiPF6</w:t>
      </w:r>
      <w:r w:rsidRPr="00996185">
        <w:rPr>
          <w:rStyle w:val="None"/>
          <w:rFonts w:ascii="Arial" w:hAnsi="Arial"/>
          <w:sz w:val="14"/>
          <w:szCs w:val="14"/>
          <w:shd w:val="clear" w:color="auto" w:fill="FFFFFF"/>
        </w:rPr>
        <w:t>=0.086)] VC content (C) for fixed [(x</w:t>
      </w:r>
      <w:r w:rsidRPr="00996185">
        <w:rPr>
          <w:rStyle w:val="None"/>
          <w:rFonts w:ascii="Arial" w:hAnsi="Arial"/>
          <w:sz w:val="14"/>
          <w:szCs w:val="14"/>
          <w:shd w:val="clear" w:color="auto" w:fill="FFFFFF"/>
          <w:vertAlign w:val="subscript"/>
        </w:rPr>
        <w:t>EC</w:t>
      </w:r>
      <w:r w:rsidRPr="00996185">
        <w:rPr>
          <w:rStyle w:val="None"/>
          <w:rFonts w:ascii="Arial" w:hAnsi="Arial"/>
          <w:sz w:val="14"/>
          <w:szCs w:val="14"/>
          <w:shd w:val="clear" w:color="auto" w:fill="FFFFFF"/>
        </w:rPr>
        <w:t>=0.336, x</w:t>
      </w:r>
      <w:r w:rsidRPr="00996185">
        <w:rPr>
          <w:rStyle w:val="None"/>
          <w:rFonts w:ascii="Arial" w:hAnsi="Arial"/>
          <w:sz w:val="14"/>
          <w:szCs w:val="14"/>
          <w:shd w:val="clear" w:color="auto" w:fill="FFFFFF"/>
          <w:vertAlign w:val="subscript"/>
        </w:rPr>
        <w:t>LiPF6</w:t>
      </w:r>
      <w:r w:rsidRPr="00996185">
        <w:rPr>
          <w:rStyle w:val="None"/>
          <w:rFonts w:ascii="Arial" w:hAnsi="Arial"/>
          <w:sz w:val="14"/>
          <w:szCs w:val="14"/>
          <w:shd w:val="clear" w:color="auto" w:fill="FFFFFF"/>
        </w:rPr>
        <w:t>=0.087)] at different temperatures are shown below. All the results are shown for the LR model.</w:t>
      </w:r>
    </w:p>
    <w:p w14:paraId="6425B939" w14:textId="77777777" w:rsidR="004A47D4" w:rsidRPr="00996185" w:rsidRDefault="004A47D4" w:rsidP="001F05BE">
      <w:pPr>
        <w:pStyle w:val="P1"/>
        <w:rPr>
          <w:rStyle w:val="None"/>
          <w:sz w:val="14"/>
          <w:szCs w:val="14"/>
          <w:shd w:val="clear" w:color="auto" w:fill="FFFFFF"/>
        </w:rPr>
        <w:sectPr w:rsidR="004A47D4" w:rsidRPr="00996185">
          <w:type w:val="continuous"/>
          <w:pgSz w:w="11900" w:h="16840"/>
          <w:pgMar w:top="1134" w:right="936" w:bottom="1134" w:left="936" w:header="709" w:footer="0" w:gutter="0"/>
          <w:cols w:space="1701"/>
          <w:docGrid w:linePitch="360"/>
        </w:sectPr>
      </w:pPr>
    </w:p>
    <w:p w14:paraId="5A56A06F" w14:textId="64BBB6F6" w:rsidR="008F41DF" w:rsidRPr="00996185" w:rsidRDefault="00EB2A2E" w:rsidP="001F05BE">
      <w:pPr>
        <w:pStyle w:val="P1"/>
        <w:rPr>
          <w:shd w:val="clear" w:color="auto" w:fill="FFFFFF"/>
        </w:rPr>
      </w:pPr>
      <w:r w:rsidRPr="00996185">
        <w:rPr>
          <w:rStyle w:val="None"/>
          <w:shd w:val="clear" w:color="auto" w:fill="FFFFFF"/>
        </w:rPr>
        <w:t xml:space="preserve">In </w:t>
      </w:r>
      <w:r w:rsidRPr="00996185">
        <w:rPr>
          <w:rStyle w:val="None"/>
          <w:b/>
          <w:bCs/>
          <w:shd w:val="clear" w:color="auto" w:fill="FFFFFF"/>
        </w:rPr>
        <w:t xml:space="preserve">Figure </w:t>
      </w:r>
      <w:r w:rsidR="00522E61" w:rsidRPr="00996185">
        <w:rPr>
          <w:rStyle w:val="None"/>
          <w:b/>
          <w:bCs/>
          <w:shd w:val="clear" w:color="auto" w:fill="FFFFFF"/>
        </w:rPr>
        <w:t>4A</w:t>
      </w:r>
      <w:r w:rsidRPr="00996185">
        <w:rPr>
          <w:rStyle w:val="None"/>
          <w:shd w:val="clear" w:color="auto" w:fill="FFFFFF"/>
        </w:rPr>
        <w:t>, the HTE obtained ionic conductivities, log(</w:t>
      </w:r>
      <m:oMath>
        <m:r>
          <w:rPr>
            <w:rFonts w:ascii="Cambria Math" w:hAnsi="Cambria Math"/>
            <w:sz w:val="20"/>
            <w:szCs w:val="20"/>
          </w:rPr>
          <m:t>σ</m:t>
        </m:r>
      </m:oMath>
      <w:r w:rsidRPr="00996185">
        <w:rPr>
          <w:rStyle w:val="None"/>
          <w:shd w:val="clear" w:color="auto" w:fill="FFFFFF"/>
        </w:rPr>
        <w:t>), for fixed EC/EMC ratio</w:t>
      </w:r>
      <w:r w:rsidR="00230DD1" w:rsidRPr="00996185">
        <w:rPr>
          <w:rStyle w:val="None"/>
          <w:shd w:val="clear" w:color="auto" w:fill="FFFFFF"/>
        </w:rPr>
        <w:t>,</w:t>
      </w:r>
      <w:r w:rsidRPr="00996185">
        <w:rPr>
          <w:rStyle w:val="None"/>
          <w:shd w:val="clear" w:color="auto" w:fill="FFFFFF"/>
        </w:rPr>
        <w:t xml:space="preserve"> are compared with other experimental values for the conductivity. The </w:t>
      </w:r>
      <w:r w:rsidR="00230DD1" w:rsidRPr="00996185">
        <w:rPr>
          <w:rStyle w:val="None"/>
          <w:shd w:val="clear" w:color="auto" w:fill="FFFFFF"/>
        </w:rPr>
        <w:t xml:space="preserve">obtained </w:t>
      </w:r>
      <w:r w:rsidRPr="00996185">
        <w:rPr>
          <w:rStyle w:val="None"/>
          <w:shd w:val="clear" w:color="auto" w:fill="FFFFFF"/>
        </w:rPr>
        <w:t xml:space="preserve">results are compatible within the fluctuations. Furthermore, in </w:t>
      </w:r>
      <w:r w:rsidRPr="00996185">
        <w:rPr>
          <w:rStyle w:val="None"/>
          <w:b/>
          <w:bCs/>
          <w:shd w:val="clear" w:color="auto" w:fill="FFFFFF"/>
        </w:rPr>
        <w:t xml:space="preserve">Figure </w:t>
      </w:r>
      <w:r w:rsidR="00522E61" w:rsidRPr="00996185">
        <w:rPr>
          <w:rStyle w:val="None"/>
          <w:b/>
          <w:bCs/>
          <w:shd w:val="clear" w:color="auto" w:fill="FFFFFF"/>
        </w:rPr>
        <w:t>4B</w:t>
      </w:r>
      <w:r w:rsidR="00522E61" w:rsidRPr="00996185">
        <w:rPr>
          <w:rStyle w:val="None"/>
          <w:shd w:val="clear" w:color="auto" w:fill="FFFFFF"/>
        </w:rPr>
        <w:t xml:space="preserve"> </w:t>
      </w:r>
      <w:r w:rsidRPr="00996185">
        <w:rPr>
          <w:rStyle w:val="None"/>
          <w:shd w:val="clear" w:color="auto" w:fill="FFFFFF"/>
        </w:rPr>
        <w:t xml:space="preserve">we show the logarithm of the molar conductivities and in </w:t>
      </w:r>
      <w:r w:rsidRPr="00996185">
        <w:rPr>
          <w:rStyle w:val="None"/>
          <w:b/>
          <w:bCs/>
          <w:shd w:val="clear" w:color="auto" w:fill="FFFFFF"/>
        </w:rPr>
        <w:t xml:space="preserve">Figure </w:t>
      </w:r>
      <w:r w:rsidR="00522E61" w:rsidRPr="00996185">
        <w:rPr>
          <w:rStyle w:val="None"/>
          <w:b/>
          <w:bCs/>
          <w:shd w:val="clear" w:color="auto" w:fill="FFFFFF"/>
        </w:rPr>
        <w:t>4C</w:t>
      </w:r>
      <w:r w:rsidR="00522E61" w:rsidRPr="00996185">
        <w:rPr>
          <w:rStyle w:val="None"/>
          <w:shd w:val="clear" w:color="auto" w:fill="FFFFFF"/>
        </w:rPr>
        <w:t xml:space="preserve"> </w:t>
      </w:r>
      <w:r w:rsidRPr="00996185">
        <w:rPr>
          <w:rStyle w:val="None"/>
          <w:shd w:val="clear" w:color="auto" w:fill="FFFFFF"/>
        </w:rPr>
        <w:t>the activation energies, incorporating data for the viscosity</w:t>
      </w:r>
      <w:r w:rsidR="00AE1919" w:rsidRPr="00996185">
        <w:rPr>
          <w:rStyle w:val="None"/>
          <w:vertAlign w:val="superscript"/>
        </w:rPr>
        <w:fldChar w:fldCharType="begin"/>
      </w:r>
      <w:r w:rsidR="00147125" w:rsidRPr="00996185">
        <w:rPr>
          <w:rStyle w:val="None"/>
          <w:vertAlign w:val="superscript"/>
        </w:rPr>
        <w:instrText xml:space="preserve"> ADDIN ZOTERO_ITEM CSL_CITATION {"citationID":"Eb90ifp2","properties":{"formattedCitation":"\\super [37,43]\\nosupersub{}","plainCitation":"[37,43]","noteIndex":0},"citationItems":[{"id":1821,"uris":["http://zotero.org/users/8284002/items/63LY4HFR"],"itemData":{"id":1821,"type":"article-journal","container-title":"Journal of The Electrochemical Society","DOI":"10.1149/2.0571912jes","ISSN":"0013-4651, 1945-7111","issue":"14","journalAbbreviation":"J. Electrochem. Soc.","language":"en","page":"A3079-A3097","source":"DOI.org (Crossref)","title":"Temperature and Concentration Dependence of the Ionic Transport Properties of Lithium-Ion Battery Electrolytes","volume":"166","author":[{"family":"Landesfeind","given":"Johannes"},{"family":"Gasteiger","given":"Hubert A."}],"issued":{"date-parts":[["2019"]]}}},{"id":1830,"uris":["http://zotero.org/users/8284002/items/F5RA5AJF"],"itemData":{"id":1830,"type":"article-journal","container-title":"Journal of The Electrochemical Society","DOI":"10.1149/2.0271802jes","ISSN":"0013-4651, 1945-7111","issue":"2","journalAbbreviation":"J. Electrochem. Soc.","language":"en","page":"A21-A30","source":"DOI.org (Crossref)","title":"A Study of the Physical Properties of Li-Ion Battery Electrolytes Containing Esters","volume":"165","author":[{"family":"Logan","given":"E. R."},{"family":"Tonita","given":"Erin M."},{"family":"Gering","given":"K. L."},{"family":"Li","given":"Jing"},{"family":"Ma","given":"Xiaowei"},{"family":"Beaulieu","given":"L. Y."},{"family":"Dahn","given":"J. R."}],"issued":{"date-parts":[["2018"]]}}}],"schema":"https://github.com/citation-style-language/schema/raw/master/csl-citation.json"} </w:instrText>
      </w:r>
      <w:r w:rsidR="00AE1919" w:rsidRPr="00996185">
        <w:rPr>
          <w:rStyle w:val="None"/>
          <w:vertAlign w:val="superscript"/>
        </w:rPr>
        <w:fldChar w:fldCharType="separate"/>
      </w:r>
      <w:r w:rsidR="00147125" w:rsidRPr="00996185">
        <w:rPr>
          <w:rFonts w:cs="Arial"/>
          <w:szCs w:val="24"/>
          <w:vertAlign w:val="superscript"/>
        </w:rPr>
        <w:t>[37,43]</w:t>
      </w:r>
      <w:r w:rsidR="00AE1919" w:rsidRPr="00996185">
        <w:rPr>
          <w:rStyle w:val="None"/>
          <w:vertAlign w:val="superscript"/>
        </w:rPr>
        <w:fldChar w:fldCharType="end"/>
      </w:r>
      <w:r w:rsidRPr="00996185">
        <w:rPr>
          <w:rStyle w:val="None"/>
          <w:shd w:val="clear" w:color="auto" w:fill="FFFFFF"/>
        </w:rPr>
        <w:t xml:space="preserve"> and binary diffusivity</w:t>
      </w:r>
      <w:r w:rsidR="00AE1919" w:rsidRPr="00996185">
        <w:rPr>
          <w:rStyle w:val="None"/>
          <w:shd w:val="clear" w:color="auto" w:fill="FFFFFF"/>
        </w:rPr>
        <w:fldChar w:fldCharType="begin"/>
      </w:r>
      <w:r w:rsidR="00147125" w:rsidRPr="00996185">
        <w:rPr>
          <w:rStyle w:val="None"/>
          <w:shd w:val="clear" w:color="auto" w:fill="FFFFFF"/>
        </w:rPr>
        <w:instrText xml:space="preserve"> ADDIN ZOTERO_ITEM CSL_CITATION {"citationID":"7TKQ58Xv","properties":{"formattedCitation":"\\super [37]\\nosupersub{}","plainCitation":"[37]","noteIndex":0},"citationItems":[{"id":1821,"uris":["http://zotero.org/users/8284002/items/63LY4HFR"],"itemData":{"id":1821,"type":"article-journal","container-title":"Journal of The Electrochemical Society","DOI":"10.1149/2.0571912jes","ISSN":"0013-4651, 1945-7111","issue":"14","journalAbbreviation":"J. Electrochem. Soc.","language":"en","page":"A3079-A3097","source":"DOI.org (Crossref)","title":"Temperature and Concentration Dependence of the Ionic Transport Properties of Lithium-Ion Battery Electrolytes","volume":"166","author":[{"family":"Landesfeind","given":"Johannes"},{"family":"Gasteiger","given":"Hubert A."}],"issued":{"date-parts":[["2019"]]}}}],"schema":"https://github.com/citation-style-language/schema/raw/master/csl-citation.json"} </w:instrText>
      </w:r>
      <w:r w:rsidR="00AE1919" w:rsidRPr="00996185">
        <w:rPr>
          <w:rStyle w:val="None"/>
          <w:shd w:val="clear" w:color="auto" w:fill="FFFFFF"/>
        </w:rPr>
        <w:fldChar w:fldCharType="separate"/>
      </w:r>
      <w:r w:rsidR="00147125" w:rsidRPr="00996185">
        <w:rPr>
          <w:rFonts w:cs="Arial"/>
          <w:szCs w:val="24"/>
          <w:vertAlign w:val="superscript"/>
        </w:rPr>
        <w:t>[37]</w:t>
      </w:r>
      <w:r w:rsidR="00AE1919" w:rsidRPr="00996185">
        <w:rPr>
          <w:rStyle w:val="None"/>
          <w:shd w:val="clear" w:color="auto" w:fill="FFFFFF"/>
        </w:rPr>
        <w:fldChar w:fldCharType="end"/>
      </w:r>
      <w:r w:rsidRPr="00996185">
        <w:rPr>
          <w:rStyle w:val="None"/>
          <w:shd w:val="clear" w:color="auto" w:fill="FFFFFF"/>
        </w:rPr>
        <w:t>. Remarkably, the logarithm of the molar conductivities (</w:t>
      </w:r>
      <w:r w:rsidRPr="00996185">
        <w:rPr>
          <w:rStyle w:val="None"/>
          <w:b/>
          <w:bCs/>
          <w:shd w:val="clear" w:color="auto" w:fill="FFFFFF"/>
        </w:rPr>
        <w:t xml:space="preserve">Figure </w:t>
      </w:r>
      <w:r w:rsidR="00522E61" w:rsidRPr="00996185">
        <w:rPr>
          <w:rStyle w:val="None"/>
          <w:b/>
          <w:bCs/>
          <w:shd w:val="clear" w:color="auto" w:fill="FFFFFF"/>
        </w:rPr>
        <w:t>4B</w:t>
      </w:r>
      <w:r w:rsidRPr="00996185">
        <w:rPr>
          <w:rStyle w:val="None"/>
          <w:shd w:val="clear" w:color="auto" w:fill="FFFFFF"/>
        </w:rPr>
        <w:t>) as well as the activation energies (</w:t>
      </w:r>
      <w:r w:rsidRPr="00996185">
        <w:rPr>
          <w:rStyle w:val="None"/>
          <w:b/>
          <w:bCs/>
          <w:shd w:val="clear" w:color="auto" w:fill="FFFFFF"/>
        </w:rPr>
        <w:t xml:space="preserve">Figure </w:t>
      </w:r>
      <w:r w:rsidR="00522E61" w:rsidRPr="00996185">
        <w:rPr>
          <w:rStyle w:val="None"/>
          <w:b/>
          <w:bCs/>
          <w:shd w:val="clear" w:color="auto" w:fill="FFFFFF"/>
        </w:rPr>
        <w:t>4C</w:t>
      </w:r>
      <w:r w:rsidRPr="00996185">
        <w:rPr>
          <w:rStyle w:val="None"/>
          <w:shd w:val="clear" w:color="auto" w:fill="FFFFFF"/>
        </w:rPr>
        <w:t xml:space="preserve">) basically display a linear behavior in the whole </w:t>
      </w:r>
      <w:r w:rsidR="009D6B7E" w:rsidRPr="00996185">
        <w:rPr>
          <w:rStyle w:val="None"/>
        </w:rPr>
        <w:t xml:space="preserve">conducting </w:t>
      </w:r>
      <w:r w:rsidRPr="00996185">
        <w:rPr>
          <w:rStyle w:val="None"/>
          <w:shd w:val="clear" w:color="auto" w:fill="FFFFFF"/>
        </w:rPr>
        <w:t>salt concentration regime</w:t>
      </w:r>
      <w:r w:rsidR="008F41DF" w:rsidRPr="00996185">
        <w:rPr>
          <w:rStyle w:val="None"/>
          <w:shd w:val="clear" w:color="auto" w:fill="FFFFFF"/>
        </w:rPr>
        <w:t xml:space="preserve">. </w:t>
      </w:r>
      <w:r w:rsidR="008F41DF" w:rsidRPr="00996185">
        <w:rPr>
          <w:shd w:val="clear" w:color="auto" w:fill="FFFFFF"/>
        </w:rPr>
        <w:t xml:space="preserve">This linear behavior has interesting consequences. As shown in SI V.6 it allows one to predict the </w:t>
      </w:r>
      <w:r w:rsidR="009D6B7E" w:rsidRPr="00996185">
        <w:rPr>
          <w:rStyle w:val="None"/>
        </w:rPr>
        <w:t xml:space="preserve">conducting </w:t>
      </w:r>
      <w:r w:rsidR="008F41DF" w:rsidRPr="00996185">
        <w:rPr>
          <w:shd w:val="clear" w:color="auto" w:fill="FFFFFF"/>
        </w:rPr>
        <w:t xml:space="preserve">salt content at which the conductivity displays a maximum as a function of temperature, yielding </w:t>
      </w:r>
      <w:bookmarkStart w:id="3" w:name="_Hlk100329410"/>
      <m:oMath>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max</m:t>
            </m:r>
          </m:sub>
        </m:sSub>
        <m:d>
          <m:dPr>
            <m:ctrlPr>
              <w:rPr>
                <w:rFonts w:ascii="Cambria Math" w:hAnsi="Cambria Math"/>
                <w:i/>
                <w:shd w:val="clear" w:color="auto" w:fill="FFFFFF"/>
              </w:rPr>
            </m:ctrlPr>
          </m:dPr>
          <m:e>
            <m:r>
              <w:rPr>
                <w:rFonts w:ascii="Cambria Math" w:hAnsi="Cambria Math"/>
                <w:shd w:val="clear" w:color="auto" w:fill="FFFFFF"/>
              </w:rPr>
              <m:t>β</m:t>
            </m:r>
          </m:e>
        </m:d>
        <m:r>
          <w:rPr>
            <w:rFonts w:ascii="Cambria Math" w:hAnsi="Cambria Math"/>
            <w:shd w:val="clear" w:color="auto" w:fill="FFFFFF"/>
          </w:rPr>
          <m:t>=</m:t>
        </m:r>
        <m:f>
          <m:fPr>
            <m:ctrlPr>
              <w:rPr>
                <w:rFonts w:ascii="Cambria Math" w:hAnsi="Cambria Math"/>
                <w:i/>
                <w:shd w:val="clear" w:color="auto" w:fill="FFFFFF"/>
              </w:rPr>
            </m:ctrlPr>
          </m:fPr>
          <m:num>
            <m:r>
              <w:rPr>
                <w:rFonts w:ascii="Cambria Math" w:hAnsi="Cambria Math"/>
                <w:shd w:val="clear" w:color="auto" w:fill="FFFFFF"/>
              </w:rPr>
              <m:t>0.0833</m:t>
            </m:r>
          </m:num>
          <m:den>
            <m:r>
              <w:rPr>
                <w:rFonts w:ascii="Cambria Math" w:hAnsi="Cambria Math"/>
                <w:shd w:val="clear" w:color="auto" w:fill="FFFFFF"/>
              </w:rPr>
              <m:t>1+0.76(β-</m:t>
            </m:r>
            <m:sSub>
              <m:sSubPr>
                <m:ctrlPr>
                  <w:rPr>
                    <w:rFonts w:ascii="Cambria Math" w:hAnsi="Cambria Math"/>
                    <w:i/>
                    <w:shd w:val="clear" w:color="auto" w:fill="FFFFFF"/>
                  </w:rPr>
                </m:ctrlPr>
              </m:sSubPr>
              <m:e>
                <m:r>
                  <w:rPr>
                    <w:rFonts w:ascii="Cambria Math" w:hAnsi="Cambria Math"/>
                    <w:shd w:val="clear" w:color="auto" w:fill="FFFFFF"/>
                  </w:rPr>
                  <m:t>β</m:t>
                </m:r>
              </m:e>
              <m:sub>
                <m:r>
                  <w:rPr>
                    <w:rFonts w:ascii="Cambria Math" w:hAnsi="Cambria Math"/>
                    <w:shd w:val="clear" w:color="auto" w:fill="FFFFFF"/>
                  </w:rPr>
                  <m:t>0</m:t>
                </m:r>
              </m:sub>
            </m:sSub>
            <m:r>
              <w:rPr>
                <w:rFonts w:ascii="Cambria Math" w:hAnsi="Cambria Math"/>
                <w:shd w:val="clear" w:color="auto" w:fill="FFFFFF"/>
              </w:rPr>
              <m:t>)</m:t>
            </m:r>
          </m:den>
        </m:f>
      </m:oMath>
      <w:bookmarkEnd w:id="3"/>
      <w:r w:rsidR="008F41DF" w:rsidRPr="00996185">
        <w:rPr>
          <w:shd w:val="clear" w:color="auto" w:fill="FFFFFF"/>
        </w:rPr>
        <w:t xml:space="preserve">. The estimations in </w:t>
      </w:r>
      <w:r w:rsidR="008F41DF" w:rsidRPr="00996185">
        <w:rPr>
          <w:b/>
          <w:bCs/>
          <w:shd w:val="clear" w:color="auto" w:fill="FFFFFF"/>
        </w:rPr>
        <w:t xml:space="preserve">Figure </w:t>
      </w:r>
      <w:r w:rsidR="00134568" w:rsidRPr="00996185">
        <w:rPr>
          <w:b/>
          <w:bCs/>
          <w:shd w:val="clear" w:color="auto" w:fill="FFFFFF"/>
        </w:rPr>
        <w:t>4A</w:t>
      </w:r>
      <w:r w:rsidR="008F41DF" w:rsidRPr="00996185">
        <w:rPr>
          <w:bCs/>
          <w:shd w:val="clear" w:color="auto" w:fill="FFFFFF"/>
        </w:rPr>
        <w:t xml:space="preserve">, based on </w:t>
      </w:r>
      <w:r w:rsidR="008F41DF" w:rsidRPr="00996185">
        <w:rPr>
          <w:bCs/>
          <w:shd w:val="clear" w:color="auto" w:fill="FFFFFF"/>
        </w:rPr>
        <w:t>this relation, indeed</w:t>
      </w:r>
      <w:r w:rsidR="008F41DF" w:rsidRPr="00996185">
        <w:rPr>
          <w:b/>
          <w:bCs/>
          <w:shd w:val="clear" w:color="auto" w:fill="FFFFFF"/>
        </w:rPr>
        <w:t xml:space="preserve"> </w:t>
      </w:r>
      <w:r w:rsidR="008F41DF" w:rsidRPr="00996185">
        <w:rPr>
          <w:shd w:val="clear" w:color="auto" w:fill="FFFFFF"/>
        </w:rPr>
        <w:t>show very good agreement with the actual conductivities.</w:t>
      </w:r>
    </w:p>
    <w:p w14:paraId="163FA649" w14:textId="1066D7D5" w:rsidR="004A47D4" w:rsidRPr="00996185" w:rsidRDefault="00EB2A2E" w:rsidP="001F05BE">
      <w:pPr>
        <w:pStyle w:val="P1"/>
        <w:rPr>
          <w:rStyle w:val="None"/>
          <w:vertAlign w:val="superscript"/>
        </w:rPr>
        <w:sectPr w:rsidR="004A47D4" w:rsidRPr="00996185">
          <w:type w:val="continuous"/>
          <w:pgSz w:w="11900" w:h="16840"/>
          <w:pgMar w:top="1134" w:right="936" w:bottom="1134" w:left="936" w:header="709" w:footer="0" w:gutter="0"/>
          <w:cols w:num="2" w:space="284"/>
          <w:docGrid w:linePitch="360"/>
        </w:sectPr>
      </w:pPr>
      <w:r w:rsidRPr="00996185">
        <w:rPr>
          <w:rStyle w:val="None"/>
          <w:shd w:val="clear" w:color="auto" w:fill="FFFFFF"/>
        </w:rPr>
        <w:t xml:space="preserve">Thus, after removing the trivial impact of an increasing number of ions, there are no indications of changing mechanisms at the maximum. Furthermore, the </w:t>
      </w:r>
      <w:r w:rsidR="009D6B7E" w:rsidRPr="00996185">
        <w:rPr>
          <w:rStyle w:val="None"/>
        </w:rPr>
        <w:t xml:space="preserve">conducting </w:t>
      </w:r>
      <w:r w:rsidRPr="00996185">
        <w:rPr>
          <w:rStyle w:val="None"/>
          <w:shd w:val="clear" w:color="auto" w:fill="FFFFFF"/>
        </w:rPr>
        <w:t xml:space="preserve">salt dependence of the molar conductivity at fixed temperature as well as its activation energy is very similar to the respective observables, based on the viscosity. The remaining minor systematic deviations of the activation energies of the conductivity to the viscosity and diffusivity in </w:t>
      </w:r>
      <w:r w:rsidRPr="00996185">
        <w:rPr>
          <w:rStyle w:val="None"/>
          <w:b/>
          <w:bCs/>
          <w:shd w:val="clear" w:color="auto" w:fill="FFFFFF"/>
        </w:rPr>
        <w:t xml:space="preserve">Figure </w:t>
      </w:r>
      <w:r w:rsidR="00134568" w:rsidRPr="00996185">
        <w:rPr>
          <w:rStyle w:val="None"/>
          <w:b/>
          <w:bCs/>
          <w:shd w:val="clear" w:color="auto" w:fill="FFFFFF"/>
        </w:rPr>
        <w:t>4C</w:t>
      </w:r>
      <w:r w:rsidR="00134568" w:rsidRPr="00996185">
        <w:rPr>
          <w:rStyle w:val="None"/>
          <w:shd w:val="clear" w:color="auto" w:fill="FFFFFF"/>
        </w:rPr>
        <w:t xml:space="preserve"> </w:t>
      </w:r>
      <w:r w:rsidRPr="00996185">
        <w:rPr>
          <w:rStyle w:val="None"/>
          <w:shd w:val="clear" w:color="auto" w:fill="FFFFFF"/>
        </w:rPr>
        <w:t xml:space="preserve">indicate that the lowering of the conductivity as compared to the Nernst-Einstein prediction </w:t>
      </w:r>
      <w:r w:rsidRPr="00996185">
        <w:rPr>
          <w:rStyle w:val="None"/>
          <w:i/>
          <w:iCs/>
          <w:shd w:val="clear" w:color="auto" w:fill="FFFFFF"/>
        </w:rPr>
        <w:t>via</w:t>
      </w:r>
      <w:r w:rsidRPr="00996185">
        <w:rPr>
          <w:rStyle w:val="None"/>
          <w:shd w:val="clear" w:color="auto" w:fill="FFFFFF"/>
        </w:rPr>
        <w:t xml:space="preserve"> pair formation is somewhat less pronounced for lower temperatures. The latter has been also reported for other systems.</w:t>
      </w:r>
      <w:r w:rsidR="00AE1919" w:rsidRPr="00996185">
        <w:rPr>
          <w:rStyle w:val="None"/>
          <w:vertAlign w:val="superscript"/>
        </w:rPr>
        <w:fldChar w:fldCharType="begin"/>
      </w:r>
      <w:r w:rsidR="00147125" w:rsidRPr="00996185">
        <w:rPr>
          <w:rStyle w:val="None"/>
          <w:vertAlign w:val="superscript"/>
        </w:rPr>
        <w:instrText xml:space="preserve"> ADDIN ZOTERO_ITEM CSL_CITATION {"citationID":"lUNlQC6n","properties":{"formattedCitation":"\\super [52]\\nosupersub{}","plainCitation":"[52]","noteIndex":0},"citationItems":[{"id":1864,"uris":["http://zotero.org/users/8284002/items/TMCYKEPX"],"itemData":{"id":1864,"type":"article-journal","abstract":"Abstract\n            \n              Molten salts are crucial materials in energy applications, such as batteries, thermal energy storage systems or concentrated solar power plants. Still, the determination and interpretation of basic physico-chemical properties like ionic conductivity, mobilities and transference numbers cause debate. Here, we explore a method for determination of ionic electrical mobilities based on non-equilibrium computer simulations. Partial conductivities are then determined as a function of system composition and temperature from simulations of molten LiF\n              \n                α\n              \n              Cl\n              \n                β\n              \n              I\n              \n                γ\n              \n              (with\n              α\n              +\n              β\n              +\n              γ\n              = 1). High conductivity does not necessarily coincide with high Li\n              +\n              mobility for molten LiF\n              \n                α\n              \n              Cl\n              \n                β\n              \n              I\n              \n                γ\n              \n              systems at a given temperature. In salt mixtures, the lighter anions on average drift along with Li\n              +\n              towards the negative electrode when applying an electric field and only the heavier anions move towards the positive electrode. In conclusion, the microscopic origin of conductivity in molten salts is unraveled here based on accurate ionic electrical mobilities and an analysis of the local structure and kinetics of the materials.","container-title":"Communications Chemistry","DOI":"10.1038/s42004-020-00446-2","ISSN":"2399-3669","issue":"1","journalAbbreviation":"Commun Chem","language":"en","page":"9","source":"DOI.org (Crossref)","title":"Microscopic origins of conductivity in molten salts unraveled by computer simulations","volume":"4","author":[{"family":"Walz","given":"Marie-Madeleine"},{"family":"Spoel","given":"David","non-dropping-particle":"van der"}],"issued":{"date-parts":[["2021",12]]}}}],"schema":"https://github.com/citation-style-language/schema/raw/master/csl-citation.json"} </w:instrText>
      </w:r>
      <w:r w:rsidR="00AE1919" w:rsidRPr="00996185">
        <w:rPr>
          <w:rStyle w:val="None"/>
          <w:vertAlign w:val="superscript"/>
        </w:rPr>
        <w:fldChar w:fldCharType="separate"/>
      </w:r>
      <w:r w:rsidR="00147125" w:rsidRPr="00996185">
        <w:rPr>
          <w:rFonts w:cs="Arial"/>
          <w:szCs w:val="24"/>
          <w:vertAlign w:val="superscript"/>
        </w:rPr>
        <w:t>[52]</w:t>
      </w:r>
      <w:r w:rsidR="00AE1919" w:rsidRPr="00996185">
        <w:rPr>
          <w:rStyle w:val="None"/>
          <w:vertAlign w:val="superscript"/>
        </w:rPr>
        <w:fldChar w:fldCharType="end"/>
      </w:r>
    </w:p>
    <w:p w14:paraId="22DB0B8C" w14:textId="77777777" w:rsidR="004A47D4" w:rsidRPr="00996185" w:rsidRDefault="004A47D4" w:rsidP="001F05BE">
      <w:pPr>
        <w:pStyle w:val="P1"/>
        <w:rPr>
          <w:rStyle w:val="None"/>
          <w:b/>
          <w:bCs/>
          <w:shd w:val="clear" w:color="auto" w:fill="FFFFFF"/>
        </w:rPr>
      </w:pPr>
    </w:p>
    <w:p w14:paraId="4856C935" w14:textId="77777777" w:rsidR="004A47D4" w:rsidRPr="00996185" w:rsidRDefault="004A47D4" w:rsidP="001F05BE">
      <w:pPr>
        <w:pStyle w:val="P1"/>
        <w:rPr>
          <w:rStyle w:val="None"/>
          <w:b/>
          <w:bCs/>
          <w:shd w:val="clear" w:color="auto" w:fill="FFFFFF"/>
        </w:rPr>
      </w:pPr>
    </w:p>
    <w:p w14:paraId="4471DDCE" w14:textId="77777777" w:rsidR="004A47D4" w:rsidRPr="00996185" w:rsidRDefault="004A47D4" w:rsidP="001F05BE">
      <w:pPr>
        <w:pStyle w:val="P1"/>
        <w:rPr>
          <w:rStyle w:val="None"/>
          <w:b/>
          <w:bCs/>
          <w:shd w:val="clear" w:color="auto" w:fill="FFFFFF"/>
        </w:rPr>
      </w:pPr>
    </w:p>
    <w:p w14:paraId="5F5702B9" w14:textId="5024EB83" w:rsidR="004A47D4" w:rsidRPr="00996185" w:rsidRDefault="00EB2A2E" w:rsidP="001F05BE">
      <w:pPr>
        <w:pStyle w:val="P1"/>
        <w:spacing w:line="240" w:lineRule="auto"/>
        <w:rPr>
          <w:rStyle w:val="None"/>
          <w:sz w:val="14"/>
          <w:szCs w:val="14"/>
          <w:shd w:val="clear" w:color="auto" w:fill="FFFFFF"/>
        </w:rPr>
      </w:pPr>
      <w:r w:rsidRPr="00996185">
        <w:rPr>
          <w:rStyle w:val="None"/>
          <w:noProof/>
          <w:sz w:val="14"/>
          <w:szCs w:val="14"/>
          <w:shd w:val="clear" w:color="auto" w:fill="FFFFFF"/>
          <w:lang w:eastAsia="en-US"/>
        </w:rPr>
        <w:lastRenderedPageBreak/>
        <mc:AlternateContent>
          <mc:Choice Requires="wpg">
            <w:drawing>
              <wp:anchor distT="0" distB="0" distL="0" distR="0" simplePos="0" relativeHeight="251661312" behindDoc="0" locked="0" layoutInCell="1" allowOverlap="1" wp14:anchorId="39B59A2E" wp14:editId="06E8B20D">
                <wp:simplePos x="0" y="0"/>
                <wp:positionH relativeFrom="page">
                  <wp:posOffset>594359</wp:posOffset>
                </wp:positionH>
                <wp:positionV relativeFrom="line">
                  <wp:posOffset>0</wp:posOffset>
                </wp:positionV>
                <wp:extent cx="6371591" cy="2121536"/>
                <wp:effectExtent l="0" t="0" r="0" b="0"/>
                <wp:wrapTopAndBottom/>
                <wp:docPr id="8" name="officeArt object" descr="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Grafik 12" descr="Grafik 12"/>
                        <pic:cNvPicPr>
                          <a:picLocks noChangeAspect="1"/>
                        </pic:cNvPicPr>
                      </pic:nvPicPr>
                      <pic:blipFill>
                        <a:blip r:embed="rId22"/>
                        <a:stretch/>
                      </pic:blipFill>
                      <pic:spPr bwMode="auto">
                        <a:xfrm>
                          <a:off x="0" y="0"/>
                          <a:ext cx="6371591" cy="2121536"/>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0.0pt;mso-wrap-distance-top:0.0pt;mso-wrap-distance-right:0.0pt;mso-wrap-distance-bottom:0.0pt;z-index:251661312;o:allowoverlap:true;o:allowincell:true;mso-position-horizontal-relative:page;margin-left:46.8pt;mso-position-horizontal:absolute;mso-position-vertical-relative:line;margin-top:0.0pt;mso-position-vertical:absolute;width:501.7pt;height:167.1pt;" stroked="f" strokeweight="1.00pt">
                <v:path textboxrect="0,0,0,0"/>
                <v:imagedata r:id="rId23" o:title=""/>
              </v:shape>
            </w:pict>
          </mc:Fallback>
        </mc:AlternateContent>
      </w:r>
      <w:r w:rsidRPr="00996185">
        <w:rPr>
          <w:rStyle w:val="None"/>
          <w:b/>
          <w:bCs/>
          <w:sz w:val="14"/>
          <w:szCs w:val="14"/>
          <w:shd w:val="clear" w:color="auto" w:fill="FFFFFF"/>
        </w:rPr>
        <w:t xml:space="preserve">Figure </w:t>
      </w:r>
      <w:r w:rsidR="00522E61" w:rsidRPr="00996185">
        <w:rPr>
          <w:rStyle w:val="None"/>
          <w:b/>
          <w:bCs/>
          <w:sz w:val="14"/>
          <w:szCs w:val="14"/>
          <w:shd w:val="clear" w:color="auto" w:fill="FFFFFF"/>
        </w:rPr>
        <w:t>4</w:t>
      </w:r>
      <w:r w:rsidRPr="00996185">
        <w:rPr>
          <w:rStyle w:val="None"/>
          <w:b/>
          <w:bCs/>
          <w:sz w:val="14"/>
          <w:szCs w:val="14"/>
          <w:shd w:val="clear" w:color="auto" w:fill="FFFFFF"/>
        </w:rPr>
        <w:t xml:space="preserve">. </w:t>
      </w:r>
      <w:r w:rsidRPr="00996185">
        <w:rPr>
          <w:rStyle w:val="None"/>
          <w:sz w:val="14"/>
          <w:szCs w:val="14"/>
          <w:shd w:val="clear" w:color="auto" w:fill="FFFFFF"/>
        </w:rPr>
        <w:t xml:space="preserve">Comparison of different data for the 30:70 wt. EC:EMC system (no VC). (A) The LR conductivity in comparison to the data from Ref </w:t>
      </w:r>
      <w:r w:rsidR="00AE1919" w:rsidRPr="00996185">
        <w:rPr>
          <w:rStyle w:val="None"/>
          <w:sz w:val="14"/>
          <w:szCs w:val="14"/>
          <w:vertAlign w:val="superscript"/>
        </w:rPr>
        <w:fldChar w:fldCharType="begin"/>
      </w:r>
      <w:r w:rsidR="00147125" w:rsidRPr="00996185">
        <w:rPr>
          <w:rStyle w:val="None"/>
          <w:sz w:val="14"/>
          <w:szCs w:val="14"/>
          <w:vertAlign w:val="superscript"/>
        </w:rPr>
        <w:instrText xml:space="preserve"> ADDIN ZOTERO_ITEM CSL_CITATION {"citationID":"nQLYK9zL","properties":{"formattedCitation":"\\super [43]\\nosupersub{}","plainCitation":"[43]","noteIndex":0},"citationItems":[{"id":1830,"uris":["http://zotero.org/users/8284002/items/F5RA5AJF"],"itemData":{"id":1830,"type":"article-journal","container-title":"Journal of The Electrochemical Society","DOI":"10.1149/2.0271802jes","ISSN":"0013-4651, 1945-7111","issue":"2","journalAbbreviation":"J. Electrochem. Soc.","language":"en","page":"A21-A30","source":"DOI.org (Crossref)","title":"A Study of the Physical Properties of Li-Ion Battery Electrolytes Containing Esters","volume":"165","author":[{"family":"Logan","given":"E. R."},{"family":"Tonita","given":"Erin M."},{"family":"Gering","given":"K. L."},{"family":"Li","given":"Jing"},{"family":"Ma","given":"Xiaowei"},{"family":"Beaulieu","given":"L. Y."},{"family":"Dahn","given":"J. R."}],"issued":{"date-parts":[["2018"]]}}}],"schema":"https://github.com/citation-style-language/schema/raw/master/csl-citation.json"} </w:instrText>
      </w:r>
      <w:r w:rsidR="00AE1919" w:rsidRPr="00996185">
        <w:rPr>
          <w:rStyle w:val="None"/>
          <w:sz w:val="14"/>
          <w:szCs w:val="14"/>
          <w:vertAlign w:val="superscript"/>
        </w:rPr>
        <w:fldChar w:fldCharType="separate"/>
      </w:r>
      <w:r w:rsidR="00147125" w:rsidRPr="00996185">
        <w:rPr>
          <w:rFonts w:cs="Arial"/>
          <w:sz w:val="14"/>
          <w:szCs w:val="24"/>
          <w:vertAlign w:val="superscript"/>
        </w:rPr>
        <w:t>[43]</w:t>
      </w:r>
      <w:r w:rsidR="00AE1919" w:rsidRPr="00996185">
        <w:rPr>
          <w:rStyle w:val="None"/>
          <w:sz w:val="14"/>
          <w:szCs w:val="14"/>
          <w:vertAlign w:val="superscript"/>
        </w:rPr>
        <w:fldChar w:fldCharType="end"/>
      </w:r>
      <w:r w:rsidRPr="00996185">
        <w:rPr>
          <w:rStyle w:val="None"/>
          <w:sz w:val="14"/>
          <w:szCs w:val="14"/>
          <w:shd w:val="clear" w:color="auto" w:fill="FFFFFF"/>
        </w:rPr>
        <w:t xml:space="preserve"> (spheres) and Ref </w:t>
      </w:r>
      <w:r w:rsidR="009E3C75" w:rsidRPr="00996185">
        <w:rPr>
          <w:rStyle w:val="None"/>
          <w:sz w:val="14"/>
          <w:szCs w:val="14"/>
          <w:vertAlign w:val="superscript"/>
        </w:rPr>
        <w:fldChar w:fldCharType="begin"/>
      </w:r>
      <w:r w:rsidR="00147125" w:rsidRPr="00996185">
        <w:rPr>
          <w:rStyle w:val="None"/>
          <w:sz w:val="14"/>
          <w:szCs w:val="14"/>
          <w:vertAlign w:val="superscript"/>
        </w:rPr>
        <w:instrText xml:space="preserve"> ADDIN ZOTERO_ITEM CSL_CITATION {"citationID":"FUKEzC0i","properties":{"formattedCitation":"\\super [37]\\nosupersub{}","plainCitation":"[37]","noteIndex":0},"citationItems":[{"id":1821,"uris":["http://zotero.org/users/8284002/items/63LY4HFR"],"itemData":{"id":1821,"type":"article-journal","container-title":"Journal of The Electrochemical Society","DOI":"10.1149/2.0571912jes","ISSN":"0013-4651, 1945-7111","issue":"14","journalAbbreviation":"J. Electrochem. Soc.","language":"en","page":"A3079-A3097","source":"DOI.org (Crossref)","title":"Temperature and Concentration Dependence of the Ionic Transport Properties of Lithium-Ion Battery Electrolytes","volume":"166","author":[{"family":"Landesfeind","given":"Johannes"},{"family":"Gasteiger","given":"Hubert A."}],"issued":{"date-parts":[["2019"]]}}}],"schema":"https://github.com/citation-style-language/schema/raw/master/csl-citation.json"} </w:instrText>
      </w:r>
      <w:r w:rsidR="009E3C75" w:rsidRPr="00996185">
        <w:rPr>
          <w:rStyle w:val="None"/>
          <w:sz w:val="14"/>
          <w:szCs w:val="14"/>
          <w:vertAlign w:val="superscript"/>
        </w:rPr>
        <w:fldChar w:fldCharType="separate"/>
      </w:r>
      <w:r w:rsidR="00147125" w:rsidRPr="00996185">
        <w:rPr>
          <w:rFonts w:cs="Arial"/>
          <w:sz w:val="14"/>
          <w:szCs w:val="24"/>
          <w:vertAlign w:val="superscript"/>
        </w:rPr>
        <w:t>[37]</w:t>
      </w:r>
      <w:r w:rsidR="009E3C75" w:rsidRPr="00996185">
        <w:rPr>
          <w:rStyle w:val="None"/>
          <w:sz w:val="14"/>
          <w:szCs w:val="14"/>
          <w:vertAlign w:val="superscript"/>
        </w:rPr>
        <w:fldChar w:fldCharType="end"/>
      </w:r>
      <w:r w:rsidRPr="00996185">
        <w:rPr>
          <w:rStyle w:val="None"/>
          <w:sz w:val="14"/>
          <w:szCs w:val="14"/>
          <w:shd w:val="clear" w:color="auto" w:fill="FFFFFF"/>
        </w:rPr>
        <w:t xml:space="preserve"> (squares) at two different temperatures. The broken lines indicate the estimation of the maxima for both temperatures, based on the insight from (B) and (C). For details of the prediction process, see SI. (B) Comparison of different observables P as a function of </w:t>
      </w:r>
      <w:r w:rsidR="00647EF7" w:rsidRPr="00996185">
        <w:rPr>
          <w:rStyle w:val="None"/>
          <w:sz w:val="14"/>
          <w:szCs w:val="14"/>
          <w:shd w:val="clear" w:color="auto" w:fill="FFFFFF"/>
        </w:rPr>
        <w:t xml:space="preserve">conducting </w:t>
      </w:r>
      <w:r w:rsidRPr="00996185">
        <w:rPr>
          <w:rStyle w:val="None"/>
          <w:sz w:val="14"/>
          <w:szCs w:val="14"/>
          <w:shd w:val="clear" w:color="auto" w:fill="FFFFFF"/>
        </w:rPr>
        <w:t>salt content at T=25 °C. Specifically, we show the LR prediction of the</w:t>
      </w:r>
      <w:r w:rsidR="00B355CF" w:rsidRPr="00996185">
        <w:rPr>
          <w:rStyle w:val="None"/>
          <w:sz w:val="14"/>
          <w:szCs w:val="14"/>
          <w:shd w:val="clear" w:color="auto" w:fill="FFFFFF"/>
        </w:rPr>
        <w:t xml:space="preserve"> logarithm of</w:t>
      </w:r>
      <w:r w:rsidRPr="00996185">
        <w:rPr>
          <w:rStyle w:val="None"/>
          <w:sz w:val="14"/>
          <w:szCs w:val="14"/>
          <w:shd w:val="clear" w:color="auto" w:fill="FFFFFF"/>
        </w:rPr>
        <w:t xml:space="preserve"> </w:t>
      </w:r>
      <w:r w:rsidR="00B355CF" w:rsidRPr="00996185">
        <w:rPr>
          <w:rStyle w:val="None"/>
          <w:sz w:val="14"/>
          <w:szCs w:val="14"/>
          <w:shd w:val="clear" w:color="auto" w:fill="FFFFFF"/>
        </w:rPr>
        <w:t xml:space="preserve">the </w:t>
      </w:r>
      <w:r w:rsidRPr="00996185">
        <w:rPr>
          <w:rStyle w:val="None"/>
          <w:sz w:val="14"/>
          <w:szCs w:val="14"/>
          <w:shd w:val="clear" w:color="auto" w:fill="FFFFFF"/>
        </w:rPr>
        <w:t xml:space="preserve">molar conductivity σ/x, the </w:t>
      </w:r>
      <w:r w:rsidR="00B355CF" w:rsidRPr="00996185">
        <w:rPr>
          <w:rStyle w:val="None"/>
          <w:sz w:val="14"/>
          <w:szCs w:val="14"/>
          <w:shd w:val="clear" w:color="auto" w:fill="FFFFFF"/>
        </w:rPr>
        <w:t>negative logarithm of</w:t>
      </w:r>
      <w:r w:rsidR="00227AD2" w:rsidRPr="00996185">
        <w:rPr>
          <w:rStyle w:val="None"/>
          <w:sz w:val="14"/>
          <w:szCs w:val="14"/>
          <w:shd w:val="clear" w:color="auto" w:fill="FFFFFF"/>
        </w:rPr>
        <w:t xml:space="preserve"> the</w:t>
      </w:r>
      <w:r w:rsidR="00B355CF" w:rsidRPr="00996185">
        <w:rPr>
          <w:rStyle w:val="None"/>
          <w:sz w:val="14"/>
          <w:szCs w:val="14"/>
          <w:shd w:val="clear" w:color="auto" w:fill="FFFFFF"/>
        </w:rPr>
        <w:t xml:space="preserve"> </w:t>
      </w:r>
      <w:r w:rsidRPr="00996185">
        <w:rPr>
          <w:rStyle w:val="None"/>
          <w:sz w:val="14"/>
          <w:szCs w:val="14"/>
          <w:shd w:val="clear" w:color="auto" w:fill="FFFFFF"/>
        </w:rPr>
        <w:t>viscosity [</w:t>
      </w:r>
      <w:proofErr w:type="spellStart"/>
      <w:r w:rsidRPr="00996185">
        <w:rPr>
          <w:rStyle w:val="None"/>
          <w:sz w:val="14"/>
          <w:szCs w:val="14"/>
          <w:shd w:val="clear" w:color="auto" w:fill="FFFFFF"/>
        </w:rPr>
        <w:t>cP</w:t>
      </w:r>
      <w:proofErr w:type="spellEnd"/>
      <w:r w:rsidRPr="00996185">
        <w:rPr>
          <w:rStyle w:val="None"/>
          <w:sz w:val="14"/>
          <w:szCs w:val="14"/>
          <w:shd w:val="clear" w:color="auto" w:fill="FFFFFF"/>
        </w:rPr>
        <w:t xml:space="preserve">] from Ref </w:t>
      </w:r>
      <w:r w:rsidR="009E3C75" w:rsidRPr="00996185">
        <w:rPr>
          <w:rStyle w:val="None"/>
          <w:sz w:val="14"/>
          <w:szCs w:val="14"/>
          <w:vertAlign w:val="superscript"/>
        </w:rPr>
        <w:fldChar w:fldCharType="begin"/>
      </w:r>
      <w:r w:rsidR="00147125" w:rsidRPr="00996185">
        <w:rPr>
          <w:rStyle w:val="None"/>
          <w:sz w:val="14"/>
          <w:szCs w:val="14"/>
          <w:vertAlign w:val="superscript"/>
        </w:rPr>
        <w:instrText xml:space="preserve"> ADDIN ZOTERO_ITEM CSL_CITATION {"citationID":"LFWO3hNj","properties":{"formattedCitation":"\\super [43]\\nosupersub{}","plainCitation":"[43]","noteIndex":0},"citationItems":[{"id":1830,"uris":["http://zotero.org/users/8284002/items/F5RA5AJF"],"itemData":{"id":1830,"type":"article-journal","container-title":"Journal of The Electrochemical Society","DOI":"10.1149/2.0271802jes","ISSN":"0013-4651, 1945-7111","issue":"2","journalAbbreviation":"J. Electrochem. Soc.","language":"en","page":"A21-A30","source":"DOI.org (Crossref)","title":"A Study of the Physical Properties of Li-Ion Battery Electrolytes Containing Esters","volume":"165","author":[{"family":"Logan","given":"E. R."},{"family":"Tonita","given":"Erin M."},{"family":"Gering","given":"K. L."},{"family":"Li","given":"Jing"},{"family":"Ma","given":"Xiaowei"},{"family":"Beaulieu","given":"L. Y."},{"family":"Dahn","given":"J. R."}],"issued":{"date-parts":[["2018"]]}}}],"schema":"https://github.com/citation-style-language/schema/raw/master/csl-citation.json"} </w:instrText>
      </w:r>
      <w:r w:rsidR="009E3C75" w:rsidRPr="00996185">
        <w:rPr>
          <w:rStyle w:val="None"/>
          <w:sz w:val="14"/>
          <w:szCs w:val="14"/>
          <w:vertAlign w:val="superscript"/>
        </w:rPr>
        <w:fldChar w:fldCharType="separate"/>
      </w:r>
      <w:r w:rsidR="00147125" w:rsidRPr="00996185">
        <w:rPr>
          <w:rFonts w:cs="Arial"/>
          <w:sz w:val="14"/>
          <w:szCs w:val="24"/>
          <w:vertAlign w:val="superscript"/>
        </w:rPr>
        <w:t>[43]</w:t>
      </w:r>
      <w:r w:rsidR="009E3C75" w:rsidRPr="00996185">
        <w:rPr>
          <w:rStyle w:val="None"/>
          <w:sz w:val="14"/>
          <w:szCs w:val="14"/>
          <w:vertAlign w:val="superscript"/>
        </w:rPr>
        <w:fldChar w:fldCharType="end"/>
      </w:r>
      <w:r w:rsidRPr="00996185">
        <w:rPr>
          <w:rStyle w:val="None"/>
          <w:sz w:val="14"/>
          <w:szCs w:val="14"/>
          <w:shd w:val="clear" w:color="auto" w:fill="FFFFFF"/>
        </w:rPr>
        <w:t xml:space="preserve"> (spheres) and the </w:t>
      </w:r>
      <w:r w:rsidR="00B355CF" w:rsidRPr="00996185">
        <w:rPr>
          <w:rStyle w:val="None"/>
          <w:sz w:val="14"/>
          <w:szCs w:val="14"/>
          <w:shd w:val="clear" w:color="auto" w:fill="FFFFFF"/>
        </w:rPr>
        <w:t xml:space="preserve">logarithm of </w:t>
      </w:r>
      <w:r w:rsidRPr="00996185">
        <w:rPr>
          <w:rStyle w:val="None"/>
          <w:sz w:val="14"/>
          <w:szCs w:val="14"/>
          <w:shd w:val="clear" w:color="auto" w:fill="FFFFFF"/>
        </w:rPr>
        <w:t>diffusivity [10</w:t>
      </w:r>
      <w:r w:rsidRPr="00996185">
        <w:rPr>
          <w:rStyle w:val="None"/>
          <w:sz w:val="14"/>
          <w:szCs w:val="14"/>
          <w:shd w:val="clear" w:color="auto" w:fill="FFFFFF"/>
          <w:vertAlign w:val="superscript"/>
        </w:rPr>
        <w:t>-6</w:t>
      </w:r>
      <w:r w:rsidRPr="00996185">
        <w:rPr>
          <w:rStyle w:val="None"/>
          <w:sz w:val="14"/>
          <w:szCs w:val="14"/>
          <w:shd w:val="clear" w:color="auto" w:fill="FFFFFF"/>
        </w:rPr>
        <w:t>cm</w:t>
      </w:r>
      <w:r w:rsidRPr="00996185">
        <w:rPr>
          <w:rStyle w:val="None"/>
          <w:sz w:val="14"/>
          <w:szCs w:val="14"/>
          <w:shd w:val="clear" w:color="auto" w:fill="FFFFFF"/>
          <w:vertAlign w:val="superscript"/>
        </w:rPr>
        <w:t>2</w:t>
      </w:r>
      <w:r w:rsidRPr="00996185">
        <w:rPr>
          <w:rStyle w:val="None"/>
          <w:sz w:val="14"/>
          <w:szCs w:val="14"/>
          <w:shd w:val="clear" w:color="auto" w:fill="FFFFFF"/>
        </w:rPr>
        <w:t xml:space="preserve">/s] from Ref </w:t>
      </w:r>
      <w:r w:rsidR="009E3C75" w:rsidRPr="00996185">
        <w:rPr>
          <w:rStyle w:val="None"/>
          <w:sz w:val="14"/>
          <w:szCs w:val="14"/>
          <w:vertAlign w:val="superscript"/>
        </w:rPr>
        <w:fldChar w:fldCharType="begin"/>
      </w:r>
      <w:r w:rsidR="00147125" w:rsidRPr="00996185">
        <w:rPr>
          <w:rStyle w:val="None"/>
          <w:sz w:val="14"/>
          <w:szCs w:val="14"/>
          <w:vertAlign w:val="superscript"/>
        </w:rPr>
        <w:instrText xml:space="preserve"> ADDIN ZOTERO_ITEM CSL_CITATION {"citationID":"H36l07Xa","properties":{"formattedCitation":"\\super [37]\\nosupersub{}","plainCitation":"[37]","noteIndex":0},"citationItems":[{"id":1821,"uris":["http://zotero.org/users/8284002/items/63LY4HFR"],"itemData":{"id":1821,"type":"article-journal","container-title":"Journal of The Electrochemical Society","DOI":"10.1149/2.0571912jes","ISSN":"0013-4651, 1945-7111","issue":"14","journalAbbreviation":"J. Electrochem. Soc.","language":"en","page":"A3079-A3097","source":"DOI.org (Crossref)","title":"Temperature and Concentration Dependence of the Ionic Transport Properties of Lithium-Ion Battery Electrolytes","volume":"166","author":[{"family":"Landesfeind","given":"Johannes"},{"family":"Gasteiger","given":"Hubert A."}],"issued":{"date-parts":[["2019"]]}}}],"schema":"https://github.com/citation-style-language/schema/raw/master/csl-citation.json"} </w:instrText>
      </w:r>
      <w:r w:rsidR="009E3C75" w:rsidRPr="00996185">
        <w:rPr>
          <w:rStyle w:val="None"/>
          <w:sz w:val="14"/>
          <w:szCs w:val="14"/>
          <w:vertAlign w:val="superscript"/>
        </w:rPr>
        <w:fldChar w:fldCharType="separate"/>
      </w:r>
      <w:r w:rsidR="00147125" w:rsidRPr="00996185">
        <w:rPr>
          <w:rFonts w:cs="Arial"/>
          <w:sz w:val="14"/>
          <w:szCs w:val="24"/>
          <w:vertAlign w:val="superscript"/>
        </w:rPr>
        <w:t>[37]</w:t>
      </w:r>
      <w:r w:rsidR="009E3C75" w:rsidRPr="00996185">
        <w:rPr>
          <w:rStyle w:val="None"/>
          <w:sz w:val="14"/>
          <w:szCs w:val="14"/>
          <w:vertAlign w:val="superscript"/>
        </w:rPr>
        <w:fldChar w:fldCharType="end"/>
      </w:r>
      <w:r w:rsidRPr="00996185">
        <w:rPr>
          <w:rStyle w:val="None"/>
          <w:sz w:val="14"/>
          <w:szCs w:val="14"/>
          <w:shd w:val="clear" w:color="auto" w:fill="FFFFFF"/>
        </w:rPr>
        <w:t xml:space="preserve"> (squares). Also included is a linear fit of the logarithm of the molar LR conductivity: -0.56-5.21 x</w:t>
      </w:r>
      <w:r w:rsidRPr="00996185">
        <w:rPr>
          <w:rStyle w:val="None"/>
          <w:sz w:val="14"/>
          <w:szCs w:val="14"/>
          <w:shd w:val="clear" w:color="auto" w:fill="FFFFFF"/>
          <w:vertAlign w:val="subscript"/>
        </w:rPr>
        <w:t>LiPF6</w:t>
      </w:r>
      <w:r w:rsidRPr="00996185">
        <w:rPr>
          <w:rStyle w:val="None"/>
          <w:sz w:val="14"/>
          <w:szCs w:val="14"/>
          <w:shd w:val="clear" w:color="auto" w:fill="FFFFFF"/>
        </w:rPr>
        <w:t xml:space="preserve"> (black); as broken line. Due to the excellent agreement with the molar conductivity data, it is hardly visible. (C) Comparison of the activation energies of the LR-based conductivity, the viscosity from Ref </w:t>
      </w:r>
      <w:r w:rsidR="009E3C75" w:rsidRPr="00996185">
        <w:rPr>
          <w:rStyle w:val="None"/>
          <w:sz w:val="14"/>
          <w:szCs w:val="14"/>
          <w:vertAlign w:val="superscript"/>
        </w:rPr>
        <w:fldChar w:fldCharType="begin"/>
      </w:r>
      <w:r w:rsidR="00147125" w:rsidRPr="00996185">
        <w:rPr>
          <w:rStyle w:val="None"/>
          <w:sz w:val="14"/>
          <w:szCs w:val="14"/>
          <w:vertAlign w:val="superscript"/>
        </w:rPr>
        <w:instrText xml:space="preserve"> ADDIN ZOTERO_ITEM CSL_CITATION {"citationID":"wGDRIDgk","properties":{"formattedCitation":"\\super [43]\\nosupersub{}","plainCitation":"[43]","noteIndex":0},"citationItems":[{"id":1830,"uris":["http://zotero.org/users/8284002/items/F5RA5AJF"],"itemData":{"id":1830,"type":"article-journal","container-title":"Journal of The Electrochemical Society","DOI":"10.1149/2.0271802jes","ISSN":"0013-4651, 1945-7111","issue":"2","journalAbbreviation":"J. Electrochem. Soc.","language":"en","page":"A21-A30","source":"DOI.org (Crossref)","title":"A Study of the Physical Properties of Li-Ion Battery Electrolytes Containing Esters","volume":"165","author":[{"family":"Logan","given":"E. R."},{"family":"Tonita","given":"Erin M."},{"family":"Gering","given":"K. L."},{"family":"Li","given":"Jing"},{"family":"Ma","given":"Xiaowei"},{"family":"Beaulieu","given":"L. Y."},{"family":"Dahn","given":"J. R."}],"issued":{"date-parts":[["2018"]]}}}],"schema":"https://github.com/citation-style-language/schema/raw/master/csl-citation.json"} </w:instrText>
      </w:r>
      <w:r w:rsidR="009E3C75" w:rsidRPr="00996185">
        <w:rPr>
          <w:rStyle w:val="None"/>
          <w:sz w:val="14"/>
          <w:szCs w:val="14"/>
          <w:vertAlign w:val="superscript"/>
        </w:rPr>
        <w:fldChar w:fldCharType="separate"/>
      </w:r>
      <w:r w:rsidR="00147125" w:rsidRPr="00996185">
        <w:rPr>
          <w:rFonts w:cs="Arial"/>
          <w:sz w:val="14"/>
          <w:szCs w:val="24"/>
          <w:vertAlign w:val="superscript"/>
        </w:rPr>
        <w:t>[43]</w:t>
      </w:r>
      <w:r w:rsidR="009E3C75" w:rsidRPr="00996185">
        <w:rPr>
          <w:rStyle w:val="None"/>
          <w:sz w:val="14"/>
          <w:szCs w:val="14"/>
          <w:vertAlign w:val="superscript"/>
        </w:rPr>
        <w:fldChar w:fldCharType="end"/>
      </w:r>
      <w:r w:rsidRPr="00996185">
        <w:rPr>
          <w:rStyle w:val="None"/>
          <w:sz w:val="14"/>
          <w:szCs w:val="14"/>
          <w:shd w:val="clear" w:color="auto" w:fill="FFFFFF"/>
        </w:rPr>
        <w:t xml:space="preserve"> and the diffusivity from Ref </w:t>
      </w:r>
      <w:r w:rsidR="009E3C75" w:rsidRPr="00996185">
        <w:rPr>
          <w:rStyle w:val="None"/>
          <w:sz w:val="14"/>
          <w:szCs w:val="14"/>
          <w:vertAlign w:val="superscript"/>
        </w:rPr>
        <w:fldChar w:fldCharType="begin"/>
      </w:r>
      <w:r w:rsidR="00147125" w:rsidRPr="00996185">
        <w:rPr>
          <w:rStyle w:val="None"/>
          <w:sz w:val="14"/>
          <w:szCs w:val="14"/>
          <w:vertAlign w:val="superscript"/>
        </w:rPr>
        <w:instrText xml:space="preserve"> ADDIN ZOTERO_ITEM CSL_CITATION {"citationID":"AhjqSdm0","properties":{"formattedCitation":"\\super [37]\\nosupersub{}","plainCitation":"[37]","noteIndex":0},"citationItems":[{"id":1821,"uris":["http://zotero.org/users/8284002/items/63LY4HFR"],"itemData":{"id":1821,"type":"article-journal","container-title":"Journal of The Electrochemical Society","DOI":"10.1149/2.0571912jes","ISSN":"0013-4651, 1945-7111","issue":"14","journalAbbreviation":"J. Electrochem. Soc.","language":"en","page":"A3079-A3097","source":"DOI.org (Crossref)","title":"Temperature and Concentration Dependence of the Ionic Transport Properties of Lithium-Ion Battery Electrolytes","volume":"166","author":[{"family":"Landesfeind","given":"Johannes"},{"family":"Gasteiger","given":"Hubert A."}],"issued":{"date-parts":[["2019"]]}}}],"schema":"https://github.com/citation-style-language/schema/raw/master/csl-citation.json"} </w:instrText>
      </w:r>
      <w:r w:rsidR="009E3C75" w:rsidRPr="00996185">
        <w:rPr>
          <w:rStyle w:val="None"/>
          <w:sz w:val="14"/>
          <w:szCs w:val="14"/>
          <w:vertAlign w:val="superscript"/>
        </w:rPr>
        <w:fldChar w:fldCharType="separate"/>
      </w:r>
      <w:r w:rsidR="00147125" w:rsidRPr="00996185">
        <w:rPr>
          <w:rFonts w:cs="Arial"/>
          <w:sz w:val="14"/>
          <w:szCs w:val="24"/>
          <w:vertAlign w:val="superscript"/>
        </w:rPr>
        <w:t>[37]</w:t>
      </w:r>
      <w:r w:rsidR="009E3C75" w:rsidRPr="00996185">
        <w:rPr>
          <w:rStyle w:val="None"/>
          <w:sz w:val="14"/>
          <w:szCs w:val="14"/>
          <w:vertAlign w:val="superscript"/>
        </w:rPr>
        <w:fldChar w:fldCharType="end"/>
      </w:r>
      <w:r w:rsidRPr="00996185">
        <w:rPr>
          <w:rStyle w:val="None"/>
          <w:sz w:val="14"/>
          <w:szCs w:val="14"/>
          <w:shd w:val="clear" w:color="auto" w:fill="FFFFFF"/>
        </w:rPr>
        <w:t xml:space="preserve"> for T=25 °C. The activation energy of the conductivity has been fitted by 0.89 + 9.1 x</w:t>
      </w:r>
      <w:r w:rsidRPr="00996185">
        <w:rPr>
          <w:rStyle w:val="None"/>
          <w:sz w:val="14"/>
          <w:szCs w:val="14"/>
          <w:shd w:val="clear" w:color="auto" w:fill="FFFFFF"/>
          <w:vertAlign w:val="subscript"/>
        </w:rPr>
        <w:t>LiPF6</w:t>
      </w:r>
      <w:r w:rsidRPr="00996185">
        <w:rPr>
          <w:rStyle w:val="None"/>
          <w:sz w:val="14"/>
          <w:szCs w:val="14"/>
          <w:shd w:val="clear" w:color="auto" w:fill="FFFFFF"/>
        </w:rPr>
        <w:t xml:space="preserve">. The two latter activation energies have been estimated from the viscosity and diffusivity data at T=40 °C and T=10 °C from Ref </w:t>
      </w:r>
      <w:r w:rsidR="009E3C75" w:rsidRPr="00996185">
        <w:rPr>
          <w:rStyle w:val="None"/>
          <w:sz w:val="14"/>
          <w:szCs w:val="14"/>
          <w:vertAlign w:val="superscript"/>
        </w:rPr>
        <w:fldChar w:fldCharType="begin"/>
      </w:r>
      <w:r w:rsidR="00147125" w:rsidRPr="00996185">
        <w:rPr>
          <w:rStyle w:val="None"/>
          <w:sz w:val="14"/>
          <w:szCs w:val="14"/>
          <w:vertAlign w:val="superscript"/>
        </w:rPr>
        <w:instrText xml:space="preserve"> ADDIN ZOTERO_ITEM CSL_CITATION {"citationID":"wPGK0AYa","properties":{"formattedCitation":"\\super [43]\\nosupersub{}","plainCitation":"[43]","noteIndex":0},"citationItems":[{"id":1830,"uris":["http://zotero.org/users/8284002/items/F5RA5AJF"],"itemData":{"id":1830,"type":"article-journal","container-title":"Journal of The Electrochemical Society","DOI":"10.1149/2.0271802jes","ISSN":"0013-4651, 1945-7111","issue":"2","journalAbbreviation":"J. Electrochem. Soc.","language":"en","page":"A21-A30","source":"DOI.org (Crossref)","title":"A Study of the Physical Properties of Li-Ion Battery Electrolytes Containing Esters","volume":"165","author":[{"family":"Logan","given":"E. R."},{"family":"Tonita","given":"Erin M."},{"family":"Gering","given":"K. L."},{"family":"Li","given":"Jing"},{"family":"Ma","given":"Xiaowei"},{"family":"Beaulieu","given":"L. Y."},{"family":"Dahn","given":"J. R."}],"issued":{"date-parts":[["2018"]]}}}],"schema":"https://github.com/citation-style-language/schema/raw/master/csl-citation.json"} </w:instrText>
      </w:r>
      <w:r w:rsidR="009E3C75" w:rsidRPr="00996185">
        <w:rPr>
          <w:rStyle w:val="None"/>
          <w:sz w:val="14"/>
          <w:szCs w:val="14"/>
          <w:vertAlign w:val="superscript"/>
        </w:rPr>
        <w:fldChar w:fldCharType="separate"/>
      </w:r>
      <w:r w:rsidR="00147125" w:rsidRPr="00996185">
        <w:rPr>
          <w:rFonts w:cs="Arial"/>
          <w:sz w:val="14"/>
          <w:szCs w:val="24"/>
          <w:vertAlign w:val="superscript"/>
        </w:rPr>
        <w:t>[43]</w:t>
      </w:r>
      <w:r w:rsidR="009E3C75" w:rsidRPr="00996185">
        <w:rPr>
          <w:rStyle w:val="None"/>
          <w:sz w:val="14"/>
          <w:szCs w:val="14"/>
          <w:vertAlign w:val="superscript"/>
        </w:rPr>
        <w:fldChar w:fldCharType="end"/>
      </w:r>
      <w:r w:rsidRPr="00996185">
        <w:rPr>
          <w:rStyle w:val="None"/>
          <w:sz w:val="14"/>
          <w:szCs w:val="14"/>
          <w:shd w:val="clear" w:color="auto" w:fill="FFFFFF"/>
        </w:rPr>
        <w:t xml:space="preserve">, Ref </w:t>
      </w:r>
      <w:r w:rsidR="009E3C75" w:rsidRPr="00996185">
        <w:rPr>
          <w:rStyle w:val="None"/>
          <w:sz w:val="14"/>
          <w:szCs w:val="14"/>
          <w:vertAlign w:val="superscript"/>
        </w:rPr>
        <w:fldChar w:fldCharType="begin"/>
      </w:r>
      <w:r w:rsidR="00147125" w:rsidRPr="00996185">
        <w:rPr>
          <w:rStyle w:val="None"/>
          <w:sz w:val="14"/>
          <w:szCs w:val="14"/>
          <w:vertAlign w:val="superscript"/>
        </w:rPr>
        <w:instrText xml:space="preserve"> ADDIN ZOTERO_ITEM CSL_CITATION {"citationID":"EBpeQRob","properties":{"formattedCitation":"\\super [37]\\nosupersub{}","plainCitation":"[37]","noteIndex":0},"citationItems":[{"id":1821,"uris":["http://zotero.org/users/8284002/items/63LY4HFR"],"itemData":{"id":1821,"type":"article-journal","container-title":"Journal of The Electrochemical Society","DOI":"10.1149/2.0571912jes","ISSN":"0013-4651, 1945-7111","issue":"14","journalAbbreviation":"J. Electrochem. Soc.","language":"en","page":"A3079-A3097","source":"DOI.org (Crossref)","title":"Temperature and Concentration Dependence of the Ionic Transport Properties of Lithium-Ion Battery Electrolytes","volume":"166","author":[{"family":"Landesfeind","given":"Johannes"},{"family":"Gasteiger","given":"Hubert A."}],"issued":{"date-parts":[["2019"]]}}}],"schema":"https://github.com/citation-style-language/schema/raw/master/csl-citation.json"} </w:instrText>
      </w:r>
      <w:r w:rsidR="009E3C75" w:rsidRPr="00996185">
        <w:rPr>
          <w:rStyle w:val="None"/>
          <w:sz w:val="14"/>
          <w:szCs w:val="14"/>
          <w:vertAlign w:val="superscript"/>
        </w:rPr>
        <w:fldChar w:fldCharType="separate"/>
      </w:r>
      <w:r w:rsidR="00147125" w:rsidRPr="00996185">
        <w:rPr>
          <w:rFonts w:cs="Arial"/>
          <w:sz w:val="14"/>
          <w:szCs w:val="24"/>
          <w:vertAlign w:val="superscript"/>
        </w:rPr>
        <w:t>[37]</w:t>
      </w:r>
      <w:r w:rsidR="009E3C75" w:rsidRPr="00996185">
        <w:rPr>
          <w:rStyle w:val="None"/>
          <w:sz w:val="14"/>
          <w:szCs w:val="14"/>
          <w:vertAlign w:val="superscript"/>
        </w:rPr>
        <w:fldChar w:fldCharType="end"/>
      </w:r>
      <w:r w:rsidRPr="00996185">
        <w:rPr>
          <w:rStyle w:val="None"/>
          <w:sz w:val="14"/>
          <w:szCs w:val="14"/>
          <w:shd w:val="clear" w:color="auto" w:fill="FFFFFF"/>
          <w:vertAlign w:val="superscript"/>
        </w:rPr>
        <w:t xml:space="preserve"> </w:t>
      </w:r>
      <w:r w:rsidRPr="00996185">
        <w:rPr>
          <w:rStyle w:val="None"/>
          <w:sz w:val="14"/>
          <w:szCs w:val="14"/>
          <w:shd w:val="clear" w:color="auto" w:fill="FFFFFF"/>
        </w:rPr>
        <w:t xml:space="preserve">respectively. The diffusivity data points at T=10 °C are estimated from interpolation of data at 12 °C and 2.5 °C as provided in Ref </w:t>
      </w:r>
      <w:r w:rsidR="009E3C75" w:rsidRPr="00996185">
        <w:rPr>
          <w:rStyle w:val="None"/>
          <w:sz w:val="14"/>
          <w:szCs w:val="14"/>
          <w:vertAlign w:val="superscript"/>
        </w:rPr>
        <w:fldChar w:fldCharType="begin"/>
      </w:r>
      <w:r w:rsidR="00147125" w:rsidRPr="00996185">
        <w:rPr>
          <w:rStyle w:val="None"/>
          <w:sz w:val="14"/>
          <w:szCs w:val="14"/>
          <w:vertAlign w:val="superscript"/>
        </w:rPr>
        <w:instrText xml:space="preserve"> ADDIN ZOTERO_ITEM CSL_CITATION {"citationID":"GHrJOnWb","properties":{"formattedCitation":"\\super [37]\\nosupersub{}","plainCitation":"[37]","noteIndex":0},"citationItems":[{"id":1821,"uris":["http://zotero.org/users/8284002/items/63LY4HFR"],"itemData":{"id":1821,"type":"article-journal","container-title":"Journal of The Electrochemical Society","DOI":"10.1149/2.0571912jes","ISSN":"0013-4651, 1945-7111","issue":"14","journalAbbreviation":"J. Electrochem. Soc.","language":"en","page":"A3079-A3097","source":"DOI.org (Crossref)","title":"Temperature and Concentration Dependence of the Ionic Transport Properties of Lithium-Ion Battery Electrolytes","volume":"166","author":[{"family":"Landesfeind","given":"Johannes"},{"family":"Gasteiger","given":"Hubert A."}],"issued":{"date-parts":[["2019"]]}}}],"schema":"https://github.com/citation-style-language/schema/raw/master/csl-citation.json"} </w:instrText>
      </w:r>
      <w:r w:rsidR="009E3C75" w:rsidRPr="00996185">
        <w:rPr>
          <w:rStyle w:val="None"/>
          <w:sz w:val="14"/>
          <w:szCs w:val="14"/>
          <w:vertAlign w:val="superscript"/>
        </w:rPr>
        <w:fldChar w:fldCharType="separate"/>
      </w:r>
      <w:r w:rsidR="00147125" w:rsidRPr="00996185">
        <w:rPr>
          <w:rFonts w:cs="Arial"/>
          <w:sz w:val="14"/>
          <w:szCs w:val="24"/>
          <w:vertAlign w:val="superscript"/>
        </w:rPr>
        <w:t>[37]</w:t>
      </w:r>
      <w:r w:rsidR="009E3C75" w:rsidRPr="00996185">
        <w:rPr>
          <w:rStyle w:val="None"/>
          <w:sz w:val="14"/>
          <w:szCs w:val="14"/>
          <w:vertAlign w:val="superscript"/>
        </w:rPr>
        <w:fldChar w:fldCharType="end"/>
      </w:r>
      <w:r w:rsidRPr="00996185">
        <w:rPr>
          <w:rStyle w:val="None"/>
          <w:sz w:val="14"/>
          <w:szCs w:val="14"/>
          <w:shd w:val="clear" w:color="auto" w:fill="FFFFFF"/>
        </w:rPr>
        <w:t>.</w:t>
      </w:r>
    </w:p>
    <w:p w14:paraId="281059B6" w14:textId="77777777" w:rsidR="004A47D4" w:rsidRPr="00996185" w:rsidRDefault="004A47D4" w:rsidP="001F05BE">
      <w:pPr>
        <w:pStyle w:val="P1"/>
        <w:rPr>
          <w:rStyle w:val="None"/>
          <w:sz w:val="14"/>
          <w:szCs w:val="14"/>
          <w:shd w:val="clear" w:color="auto" w:fill="FFFFFF"/>
        </w:rPr>
        <w:sectPr w:rsidR="004A47D4" w:rsidRPr="00996185">
          <w:type w:val="continuous"/>
          <w:pgSz w:w="11900" w:h="16840"/>
          <w:pgMar w:top="1134" w:right="936" w:bottom="1134" w:left="936" w:header="709" w:footer="0" w:gutter="0"/>
          <w:cols w:space="1701"/>
          <w:docGrid w:linePitch="360"/>
        </w:sectPr>
      </w:pPr>
    </w:p>
    <w:p w14:paraId="164E612E" w14:textId="77777777" w:rsidR="004A47D4" w:rsidRPr="00996185" w:rsidRDefault="004A47D4" w:rsidP="001F05BE">
      <w:pPr>
        <w:pStyle w:val="P1"/>
      </w:pPr>
    </w:p>
    <w:p w14:paraId="57F2CED1" w14:textId="77777777" w:rsidR="004A47D4" w:rsidRPr="00996185" w:rsidRDefault="00EB2A2E" w:rsidP="001F05BE">
      <w:pPr>
        <w:pStyle w:val="H1"/>
        <w:spacing w:before="0"/>
        <w:rPr>
          <w:rStyle w:val="None"/>
        </w:rPr>
      </w:pPr>
      <w:r w:rsidRPr="00996185">
        <w:rPr>
          <w:rStyle w:val="None"/>
        </w:rPr>
        <w:t>Conclusion</w:t>
      </w:r>
    </w:p>
    <w:p w14:paraId="18F50F1B" w14:textId="0E044EC1" w:rsidR="004A47D4" w:rsidRPr="00996185" w:rsidRDefault="00EB2A2E" w:rsidP="001F05BE">
      <w:pPr>
        <w:pStyle w:val="P1"/>
      </w:pPr>
      <w:r w:rsidRPr="00996185">
        <w:rPr>
          <w:rStyle w:val="None"/>
        </w:rPr>
        <w:t>The HT experimentation facility, in general, has the potential to predict a range of vital electrolyte properties and to establish a formulation-characterization-optimization evaluation chain. This involves the discovery of novel and the optimization of existing liquid electrolyte formulations for diverse cell chemistries by using a filtration effect based on the previously established set of requirements for a targeted application. From a first round of preselected, automated experiments</w:t>
      </w:r>
      <w:r w:rsidR="009E3C75" w:rsidRPr="00996185">
        <w:rPr>
          <w:rStyle w:val="None"/>
        </w:rPr>
        <w:fldChar w:fldCharType="begin"/>
      </w:r>
      <w:r w:rsidR="00147125" w:rsidRPr="00996185">
        <w:rPr>
          <w:rStyle w:val="None"/>
        </w:rPr>
        <w:instrText xml:space="preserve"> ADDIN ZOTERO_ITEM CSL_CITATION {"citationID":"2WACBFOV","properties":{"formattedCitation":"\\super [5,8,9,53\\uc0\\u8211{}55]\\nosupersub{}","plainCitation":"[5,8,9,53–55]","noteIndex":0},"citationItems":[{"id":1739,"uris":["http://zotero.org/users/8284002/items/9FN2ZFBM"],"itemData":{"id":1739,"type":"article-journal","container-title":"Nature Communications","DOI":"10.1038/s41467-020-19040-0","page":"5391","title":"A combined high-throughput and high-content platform for unified on-chip synthesis, characterization and biological screening","volume":"11","author":[{"family":"Benz","given":"Maximilian"},{"family":"Asperger","given":"Arndt"},{"family":"Hamester","given":"Meike"},{"family":"Welle","given":"Alexander"},{"family":"Heissler","given":"Stefan"},{"family":"Levkin","given":"Pavel A"}],"issued":{"date-parts":[["2020"]]}}},{"id":1740,"uris":["http://zotero.org/users/8284002/items/S43EETNK"],"itemData":{"id":1740,"type":"article-journal","container-title":"Nature Methods","DOI":"10.1038/nmeth0109-105","page":"105-108","title":"High-throughput screening: designer screens","volume":"6","author":[{"family":"Blow","given":"Nathan"}],"issued":{"date-parts":[["2009"]]}}},{"id":1741,"uris":["http://zotero.org/users/8284002/items/Y2V6I7VF"],"itemData":{"id":1741,"type":"article-journal","container-title":"ACS Energy Letters","DOI":"10.1021/acsenergylett.7b00035","issue":"4","note":"number: 4","page":"837-845","title":"Rational Design: A High-Throughput Computational Screening and Experimental Validation Methodology for Lead-Free and Emergent Hybrid Perovskites","volume":"2","author":[{"family":"Chakraboty","given":"Sudip"},{"family":"Xie","given":"Wei"},{"family":"Mathews","given":"Nripan"},{"family":"Sherburne","given":"Matthew"},{"family":"Ahuja","given":"Rajeev"},{"family":"Asta","given":"Mark"},{"family":"Mhaisalkar","given":"Subodh G"}],"issued":{"date-parts":[["2017"]]}}},{"id":1756,"uris":["http://zotero.org/users/8284002/items/NHAKX7MR"],"itemData":{"id":1756,"type":"article-journal","container-title":"Bioinformatics","DOI":"doi.org/10.1093/bioinformatics/btl126","issue":"11","note":"number: 11","page":"1408-1409","title":"HTS-Corrector: software for the statistical analysis and correction of experimental high-throughput screening data","volume":"22","author":[{"family":"Makarenkov","given":"Vladimir"},{"family":"Kevorkov","given":"Dmytro"},{"family":"Zentilli","given":"Pablo"},{"family":"Gagarin","given":"Andrei"},{"family":"Malo","given":"Nathalie"},{"family":"Nadon","given":"Robert"}],"issued":{"date-parts":[["2006"]]}}},{"id":1761,"uris":["http://zotero.org/users/8284002/items/FEEI3TLM"],"itemData":{"id":1761,"type":"article-journal","container-title":"ACS Central Science","DOI":"doi.org/10.1021/acscentsci.1c00328","issue":"8","note":"number: 8","page":"1347-1355","title":"Unlocking the Potential of High-Throughput Experimentation for Electrochemistry with a Standardized Microscale Reactor","volume":"7","author":[{"family":"Rein","given":"Jonas"},{"family":"Annand","given":"James R"},{"family":"Wismer","given":"Michael K"},{"family":"Fu","given":"Jiantao"},{"family":"C Siu","given":"Juno"},{"family":"Klapars","given":"Artis"},{"family":"Strotman","given":"Neil A"},{"family":"Kalyani","given":"Dipannita"},{"family":"Lehnherr","given":"Dan"},{"family":"Lin","given":"Song"}],"issued":{"date-parts":[["2021"]]}}},{"id":183,"uris":["http://zotero.org/users/8284002/items/9XCS8SBV"],"itemData":{"id":183,"type":"article-journal","abstract":"Data-driven material discovery has recently become popular in the field of next-generation secondary batteries. However, it is important to obtain large, high quality data sets to apply data-driven methods such as evolutionary algorithms or Bayesian optimization. Combinatorial high-throughput techniques are an effective approach to obtaining large data sets together with reliable quality. In the present study, we developed a combinatorial high-throughput system (HTS) with a throughput of 400 samples/day. The aim was to identify suitable combinations of additives to improve the performance of lithium metal electrodes for use in lithium batteries. Based on the high-throughput screening of 2002 samples, a specific combination of five additives was selected that drastically improved the coulombic efficiency (CE) of a lithium metal electrode. Importantly, the CE was remarkably decreased merely by removing one of these components, highlighting the synergistic basis of this mixture. The results of this study show that the HTS presented herein is a viable means of accelerating the discovery of ideal yet complex electrolytes with multiple components that are very difficult to identify via conventional bottom-up approach.","container-title":"Scientific Reports","DOI":"10.1038/s41598-019-42766-x","ISSN":"2045-2322","issue":"1","language":"en","note":"number: 1\npublisher: Nature Publishing Group","page":"6211","source":"www.nature.com","title":"High-throughput combinatorial screening of multi-component electrolyte additives to improve the performance of Li metal secondary batteries","volume":"9","author":[{"family":"Matsuda","given":"Shoichi"},{"family":"Nishioka","given":"Kiho"},{"family":"Nakanishi","given":"Shuji"}],"issued":{"date-parts":[["2019",4,17]]}}}],"schema":"https://github.com/citation-style-language/schema/raw/master/csl-citation.json"} </w:instrText>
      </w:r>
      <w:r w:rsidR="009E3C75" w:rsidRPr="00996185">
        <w:rPr>
          <w:rStyle w:val="None"/>
        </w:rPr>
        <w:fldChar w:fldCharType="separate"/>
      </w:r>
      <w:r w:rsidR="00147125" w:rsidRPr="00996185">
        <w:rPr>
          <w:rFonts w:cs="Arial"/>
          <w:szCs w:val="24"/>
          <w:vertAlign w:val="superscript"/>
        </w:rPr>
        <w:t>[5,8,9,53–55]</w:t>
      </w:r>
      <w:r w:rsidR="009E3C75" w:rsidRPr="00996185">
        <w:rPr>
          <w:rStyle w:val="None"/>
        </w:rPr>
        <w:fldChar w:fldCharType="end"/>
      </w:r>
      <w:r w:rsidRPr="00996185">
        <w:rPr>
          <w:rStyle w:val="None"/>
        </w:rPr>
        <w:t>, lead/hit candidates can be selected and characterized further in subsequent steps. The resulting optimization process may involve the chosen concentrations or the use of different components.</w:t>
      </w:r>
    </w:p>
    <w:p w14:paraId="0C5136DC" w14:textId="29B069D5" w:rsidR="004A47D4" w:rsidRPr="00996185" w:rsidRDefault="00EB2A2E" w:rsidP="001F05BE">
      <w:pPr>
        <w:pStyle w:val="P1"/>
      </w:pPr>
      <w:r w:rsidRPr="00996185">
        <w:rPr>
          <w:rStyle w:val="None"/>
        </w:rPr>
        <w:t xml:space="preserve">In summary, we propose an in-house developed HT approach to conduct automated impedance experiments in parallel for different electrolyte formulation to attain optimal ionic conductivities. This approach </w:t>
      </w:r>
      <w:r w:rsidR="00922A54" w:rsidRPr="00996185">
        <w:rPr>
          <w:rStyle w:val="None"/>
        </w:rPr>
        <w:t xml:space="preserve">considerably </w:t>
      </w:r>
      <w:r w:rsidRPr="00996185">
        <w:rPr>
          <w:rStyle w:val="None"/>
        </w:rPr>
        <w:t xml:space="preserve">reduces the amount of time required for performing experiments manually and enables accelerated electrolyte discovery process for battery applications. Data driven models, based on 1200 experimentally acquired data points are used to analyze and predict ionic conductivities and can further be </w:t>
      </w:r>
      <w:r w:rsidR="00102DCA" w:rsidRPr="00996185">
        <w:rPr>
          <w:rStyle w:val="None"/>
        </w:rPr>
        <w:t xml:space="preserve">utilized </w:t>
      </w:r>
      <w:r w:rsidRPr="00996185">
        <w:rPr>
          <w:rStyle w:val="None"/>
        </w:rPr>
        <w:t xml:space="preserve">to automatically identify outliers and thus increase the robustness of HT experiments. It is shown that </w:t>
      </w:r>
      <w:r w:rsidR="00102DCA" w:rsidRPr="00996185">
        <w:rPr>
          <w:rStyle w:val="None"/>
        </w:rPr>
        <w:t xml:space="preserve">considered </w:t>
      </w:r>
      <w:r w:rsidRPr="00996185">
        <w:rPr>
          <w:rStyle w:val="None"/>
        </w:rPr>
        <w:t xml:space="preserve">surrogate models predict ionic conductivities close to experimental accuracies and provide reliable estimates at very low cost compared to actual experiments. </w:t>
      </w:r>
      <w:r w:rsidR="003E5633" w:rsidRPr="00996185">
        <w:rPr>
          <w:rStyle w:val="None"/>
        </w:rPr>
        <w:t>T</w:t>
      </w:r>
      <w:r w:rsidRPr="00996185">
        <w:rPr>
          <w:rStyle w:val="None"/>
        </w:rPr>
        <w:t>he flexibility of the surrogate models with regard to statistical uncertainties provides an effective way to study feature trends on ionic conductivity compared to standard empirical models. The transformed data</w:t>
      </w:r>
      <w:r w:rsidR="00604CC9" w:rsidRPr="00996185">
        <w:rPr>
          <w:rStyle w:val="None"/>
        </w:rPr>
        <w:t>-</w:t>
      </w:r>
      <w:r w:rsidRPr="00996185">
        <w:rPr>
          <w:rStyle w:val="None"/>
        </w:rPr>
        <w:t xml:space="preserve"> driven model provides a physical interpretation of trends of electrolyte compositions on ionic conductivity. Furthermore, additional microscopic simulations and implementation of closed loop optimization protocols, performed in parallel to the experiments, can increase the efficiency and relative speedup of </w:t>
      </w:r>
      <w:r w:rsidR="00604CC9" w:rsidRPr="00996185">
        <w:rPr>
          <w:rStyle w:val="None"/>
        </w:rPr>
        <w:t>HTE.</w:t>
      </w:r>
      <w:r w:rsidRPr="00996185">
        <w:rPr>
          <w:rStyle w:val="None"/>
        </w:rPr>
        <w:t xml:space="preserve"> This may complement the results from experiments and data driven model, thereby obtaining a holistic understanding of relevant electrolyte formulations.</w:t>
      </w:r>
      <w:r w:rsidR="00EB77B5" w:rsidRPr="00996185">
        <w:rPr>
          <w:rStyle w:val="None"/>
        </w:rPr>
        <w:t xml:space="preserve"> With this in line, important physical and chemical additional insights can be gained.</w:t>
      </w:r>
    </w:p>
    <w:p w14:paraId="22B2444E" w14:textId="77777777" w:rsidR="004A47D4" w:rsidRPr="00996185" w:rsidRDefault="00EB2A2E" w:rsidP="001F05BE">
      <w:pPr>
        <w:pStyle w:val="HExperimentalSection"/>
        <w:rPr>
          <w:rStyle w:val="None"/>
          <w:lang w:val="en-US"/>
        </w:rPr>
      </w:pPr>
      <w:r w:rsidRPr="00996185">
        <w:rPr>
          <w:rStyle w:val="None"/>
          <w:lang w:val="en-US"/>
        </w:rPr>
        <w:t>Experimental Section</w:t>
      </w:r>
    </w:p>
    <w:p w14:paraId="2BF32886" w14:textId="77777777" w:rsidR="004A47D4" w:rsidRPr="00996185" w:rsidRDefault="00EB2A2E" w:rsidP="001F05BE">
      <w:pPr>
        <w:pStyle w:val="ExperimentalSection"/>
        <w:spacing w:after="0"/>
        <w:rPr>
          <w:rStyle w:val="None"/>
          <w:i/>
          <w:iCs/>
          <w:u w:val="single"/>
        </w:rPr>
      </w:pPr>
      <w:r w:rsidRPr="00996185">
        <w:rPr>
          <w:rStyle w:val="None"/>
          <w:i/>
          <w:iCs/>
          <w:u w:val="single"/>
        </w:rPr>
        <w:t>Electrolyte formulation</w:t>
      </w:r>
    </w:p>
    <w:p w14:paraId="2A665B65" w14:textId="1ECD8C2E" w:rsidR="004A47D4" w:rsidRPr="00996185" w:rsidRDefault="00EB2A2E" w:rsidP="001F05BE">
      <w:pPr>
        <w:pStyle w:val="ExperimentalSection"/>
        <w:rPr>
          <w:rStyle w:val="None"/>
        </w:rPr>
      </w:pPr>
      <w:r w:rsidRPr="00996185">
        <w:rPr>
          <w:rStyle w:val="None"/>
        </w:rPr>
        <w:t>Lithium hexafluorophosphate (LiPF</w:t>
      </w:r>
      <w:r w:rsidRPr="00996185">
        <w:rPr>
          <w:rStyle w:val="None"/>
          <w:vertAlign w:val="subscript"/>
        </w:rPr>
        <w:t>6</w:t>
      </w:r>
      <w:r w:rsidRPr="00996185">
        <w:rPr>
          <w:rStyle w:val="None"/>
        </w:rPr>
        <w:t>), ethylene carbonate (EC), ethyl methyl carbonate (EMC) and vinylene carbonate (VC) were purchased from E-Lyte Innovations in battery grade purity. All chemicals were used as received without further purification. Considered electrolytes contain LiPF</w:t>
      </w:r>
      <w:r w:rsidRPr="00996185">
        <w:rPr>
          <w:rStyle w:val="None"/>
          <w:vertAlign w:val="subscript"/>
        </w:rPr>
        <w:t>6</w:t>
      </w:r>
      <w:r w:rsidRPr="00996185">
        <w:rPr>
          <w:rStyle w:val="None"/>
        </w:rPr>
        <w:t xml:space="preserve"> as conducting salt, a mixture of EC and EMC as electrolyte solvents and VC as a functional additive (co-solvent). The composition of the formulation was altered in a systematic way by varying the concentration of only one component and keeping all remaining components constant. The LiPF</w:t>
      </w:r>
      <w:r w:rsidRPr="00996185">
        <w:rPr>
          <w:rStyle w:val="None"/>
          <w:vertAlign w:val="subscript"/>
        </w:rPr>
        <w:t>6</w:t>
      </w:r>
      <w:r w:rsidRPr="00996185">
        <w:rPr>
          <w:rStyle w:val="None"/>
        </w:rPr>
        <w:t xml:space="preserve"> concentration was allowed to vary between 0.2 mol/kg and 2.3 mol/kg. The ratio of EC/EMC solvent mixture was varied from 0.43 to 3.0 by weight. The concentration of VC was varied between 0 and 30 wt% with respect to the solvents. In total, 56 electrolytes were fully automatically formulated by means of the HTE system positioned in the glovebox (MBraun, H</w:t>
      </w:r>
      <w:r w:rsidRPr="00996185">
        <w:rPr>
          <w:rStyle w:val="None"/>
          <w:vertAlign w:val="subscript"/>
        </w:rPr>
        <w:t>2</w:t>
      </w:r>
      <w:r w:rsidRPr="00996185">
        <w:rPr>
          <w:rStyle w:val="None"/>
        </w:rPr>
        <w:t>O and O</w:t>
      </w:r>
      <w:r w:rsidRPr="00996185">
        <w:rPr>
          <w:rStyle w:val="None"/>
          <w:vertAlign w:val="subscript"/>
        </w:rPr>
        <w:t>2</w:t>
      </w:r>
      <w:r w:rsidRPr="00996185">
        <w:rPr>
          <w:rStyle w:val="None"/>
        </w:rPr>
        <w:t xml:space="preserve"> &lt; 1 ppm) under N</w:t>
      </w:r>
      <w:r w:rsidRPr="00996185">
        <w:rPr>
          <w:rStyle w:val="None"/>
          <w:vertAlign w:val="subscript"/>
        </w:rPr>
        <w:t>2</w:t>
      </w:r>
      <w:r w:rsidRPr="00996185">
        <w:rPr>
          <w:rStyle w:val="None"/>
        </w:rPr>
        <w:t xml:space="preserve"> atmosphere, of which 48 could be used for conductivity determination. In the other cases, crystal formation was either directly observed or deducted from recorded conductivity data</w:t>
      </w:r>
      <w:r w:rsidR="001F05BE" w:rsidRPr="00996185">
        <w:rPr>
          <w:rStyle w:val="None"/>
        </w:rPr>
        <w:t>. For exact compositions of all considered electrolyte formulations see SI document</w:t>
      </w:r>
      <w:r w:rsidRPr="00996185">
        <w:rPr>
          <w:rStyle w:val="None"/>
        </w:rPr>
        <w:t xml:space="preserve">. </w:t>
      </w:r>
    </w:p>
    <w:p w14:paraId="33CD0CCE" w14:textId="77777777" w:rsidR="004A47D4" w:rsidRPr="00996185" w:rsidRDefault="00EB2A2E" w:rsidP="001F05BE">
      <w:pPr>
        <w:pStyle w:val="ExperimentalSection"/>
        <w:spacing w:after="0"/>
        <w:rPr>
          <w:rStyle w:val="None"/>
          <w:i/>
          <w:iCs/>
          <w:u w:val="single"/>
        </w:rPr>
      </w:pPr>
      <w:r w:rsidRPr="00996185">
        <w:rPr>
          <w:rStyle w:val="None"/>
          <w:i/>
          <w:iCs/>
          <w:u w:val="single"/>
        </w:rPr>
        <w:t>Conductivity determination</w:t>
      </w:r>
    </w:p>
    <w:p w14:paraId="147864F7" w14:textId="697A09E5" w:rsidR="001539A1" w:rsidRPr="00996185" w:rsidRDefault="00EB2A2E" w:rsidP="001539A1">
      <w:pPr>
        <w:pStyle w:val="ExperimentalSection"/>
        <w:rPr>
          <w:rStyle w:val="None"/>
        </w:rPr>
      </w:pPr>
      <w:r w:rsidRPr="00996185">
        <w:rPr>
          <w:rStyle w:val="None"/>
        </w:rPr>
        <w:t>All experiments were carried out under an inert atmosphere (Ar or N</w:t>
      </w:r>
      <w:r w:rsidRPr="00996185">
        <w:rPr>
          <w:rStyle w:val="None"/>
          <w:vertAlign w:val="subscript"/>
        </w:rPr>
        <w:t>2</w:t>
      </w:r>
      <w:r w:rsidRPr="00996185">
        <w:rPr>
          <w:rStyle w:val="None"/>
        </w:rPr>
        <w:t xml:space="preserve">). Conductivity cells were filled and sealed </w:t>
      </w:r>
      <w:r w:rsidRPr="00996185">
        <w:rPr>
          <w:rStyle w:val="None"/>
          <w:i/>
          <w:iCs/>
        </w:rPr>
        <w:t>via</w:t>
      </w:r>
      <w:r w:rsidRPr="00996185">
        <w:rPr>
          <w:rStyle w:val="None"/>
        </w:rPr>
        <w:t xml:space="preserve"> HTE system in the glovebox (MBraun, H</w:t>
      </w:r>
      <w:r w:rsidRPr="00996185">
        <w:rPr>
          <w:rStyle w:val="None"/>
          <w:vertAlign w:val="subscript"/>
        </w:rPr>
        <w:t>2</w:t>
      </w:r>
      <w:r w:rsidRPr="00996185">
        <w:rPr>
          <w:rStyle w:val="None"/>
        </w:rPr>
        <w:t>O and O</w:t>
      </w:r>
      <w:r w:rsidRPr="00996185">
        <w:rPr>
          <w:rStyle w:val="None"/>
          <w:vertAlign w:val="subscript"/>
        </w:rPr>
        <w:t>2</w:t>
      </w:r>
      <w:r w:rsidRPr="00996185">
        <w:rPr>
          <w:rStyle w:val="None"/>
        </w:rPr>
        <w:t xml:space="preserve"> &lt; 1 ppm). Cell constants were determined with a 0.01 M solution of KCl at 20 °C (VWR, known conductivity of 1.276 mS∙cm</w:t>
      </w:r>
      <w:r w:rsidRPr="00996185">
        <w:rPr>
          <w:rStyle w:val="None"/>
          <w:vertAlign w:val="superscript"/>
        </w:rPr>
        <w:t>1</w:t>
      </w:r>
      <w:r w:rsidRPr="00996185">
        <w:rPr>
          <w:rStyle w:val="None"/>
        </w:rPr>
        <w:t>) and averaged over five measurements. Disposable 2 mL Eppendorf Safe-Lock Tubes were used as sample containers and filled with 750 µL of electrolyte each. Impedance measurements were conducted on a Metrohm Autolab/M204 potentiostat/galvanostat with 12 channels and 8-channel multiplexer for a total of 96 channels in the range of 50 Hz to 20000 Hz using in-house developed electrodes.</w:t>
      </w:r>
      <w:r w:rsidR="009E3C75" w:rsidRPr="00996185">
        <w:rPr>
          <w:rStyle w:val="None"/>
          <w:vertAlign w:val="superscript"/>
        </w:rPr>
        <w:fldChar w:fldCharType="begin"/>
      </w:r>
      <w:r w:rsidR="00147125" w:rsidRPr="00996185">
        <w:rPr>
          <w:rStyle w:val="None"/>
          <w:vertAlign w:val="superscript"/>
        </w:rPr>
        <w:instrText xml:space="preserve"> ADDIN ZOTERO_ITEM CSL_CITATION {"citationID":"bPufsdlC","properties":{"formattedCitation":"\\super [34]\\nosupersub{}","plainCitation":"[34]","noteIndex":0},"citationItems":[{"id":961,"uris":["http://zotero.org/users/8284002/items/VKLRD66B"],"itemData":{"id":961,"type":"patent","abstract":"The invention relates to a device and a method for a micro electrode\nliquid measurement cell (MDE) for cyclic voltammetry, impedance measurement, and/or\ngravimetric measurement, comprising a sample Container and at least two electrodes, on\nvery small electrolyte amounts under protective-gas conditions. The electrodes are\nspaced from each other and are embedded in a matrix in an axially parallel manner. The\nreference electrode is preferably made of metallic lithium in order to perform\nelectrochemical stability tests on electrodes with respect to an electrolyte suitable for\nlithium ion batteries.","language":"German","number":"WO 2014/139494 A1","title":"MICRO ELECTRODE LIQUID MEASUREMENT CELL","URL":"https://patentimages.storage.googleapis.com/3e/a1/51/986d0461d8aa7b/WO2014139494A1.pdf","author":[{"literal":"Hans-Dieter Wiemhöfer"},{"literal":"Mariano Grünebaum"},{"literal":"Martin Manuel Hiller"}],"issued":{"date-parts":[["2014",9,18]]},"submitted":{"date-parts":[["2014",2,28]]}}}],"schema":"https://github.com/citation-style-language/schema/raw/master/csl-citation.json"} </w:instrText>
      </w:r>
      <w:r w:rsidR="009E3C75" w:rsidRPr="00996185">
        <w:rPr>
          <w:rStyle w:val="None"/>
          <w:vertAlign w:val="superscript"/>
        </w:rPr>
        <w:fldChar w:fldCharType="separate"/>
      </w:r>
      <w:r w:rsidR="00147125" w:rsidRPr="00996185">
        <w:rPr>
          <w:rFonts w:cs="Arial"/>
          <w:szCs w:val="24"/>
          <w:vertAlign w:val="superscript"/>
        </w:rPr>
        <w:t>[34]</w:t>
      </w:r>
      <w:r w:rsidR="009E3C75" w:rsidRPr="00996185">
        <w:rPr>
          <w:rStyle w:val="None"/>
          <w:vertAlign w:val="superscript"/>
        </w:rPr>
        <w:fldChar w:fldCharType="end"/>
      </w:r>
      <w:r w:rsidRPr="00996185">
        <w:rPr>
          <w:rStyle w:val="None"/>
        </w:rPr>
        <w:t xml:space="preserve"> The samples were placed in a temperature chamber (Memmert TTC256, 0.1 °C temperature setting accuracy) and each temperature was held for 2 h prior to measurement for equilibration. Obtained impedance spectra were fitted using a model specified with set parameters for resistors R</w:t>
      </w:r>
      <w:r w:rsidRPr="00996185">
        <w:rPr>
          <w:rStyle w:val="None"/>
          <w:vertAlign w:val="subscript"/>
        </w:rPr>
        <w:t>s</w:t>
      </w:r>
      <w:r w:rsidRPr="00996185">
        <w:rPr>
          <w:rStyle w:val="None"/>
        </w:rPr>
        <w:t xml:space="preserve"> and </w:t>
      </w:r>
      <w:proofErr w:type="spellStart"/>
      <w:r w:rsidRPr="00996185">
        <w:rPr>
          <w:rStyle w:val="None"/>
        </w:rPr>
        <w:t>R</w:t>
      </w:r>
      <w:r w:rsidRPr="00996185">
        <w:rPr>
          <w:rStyle w:val="None"/>
          <w:vertAlign w:val="subscript"/>
        </w:rPr>
        <w:t>p</w:t>
      </w:r>
      <w:proofErr w:type="spellEnd"/>
      <w:r w:rsidRPr="00996185">
        <w:rPr>
          <w:rStyle w:val="None"/>
        </w:rPr>
        <w:t>, as well as for the constant phase element (CPE) with the Metrohm Nova software.</w:t>
      </w:r>
      <w:r w:rsidR="002B25A0" w:rsidRPr="00996185">
        <w:t xml:space="preserve"> </w:t>
      </w:r>
      <w:r w:rsidR="002B25A0" w:rsidRPr="00996185">
        <w:rPr>
          <w:rStyle w:val="None"/>
        </w:rPr>
        <w:t xml:space="preserve">The fitting model R1+ R2/Q was used as standard. Due to the use of ion-blocking electrodes, R2 can be approximated to infinite and the model simplifies to R1 + Q, which only contains the essential resistance R1 for the automated observation of the total ionic conductivity of the </w:t>
      </w:r>
      <w:r w:rsidR="00A14CDC" w:rsidRPr="00996185">
        <w:rPr>
          <w:rStyle w:val="None"/>
        </w:rPr>
        <w:t>considered</w:t>
      </w:r>
      <w:r w:rsidR="002B25A0" w:rsidRPr="00996185">
        <w:rPr>
          <w:rStyle w:val="None"/>
        </w:rPr>
        <w:t xml:space="preserve"> electrolyte</w:t>
      </w:r>
      <w:r w:rsidR="00A14CDC" w:rsidRPr="00996185">
        <w:rPr>
          <w:rStyle w:val="None"/>
        </w:rPr>
        <w:t xml:space="preserve"> formulation</w:t>
      </w:r>
      <w:r w:rsidR="002B25A0" w:rsidRPr="00996185">
        <w:rPr>
          <w:rStyle w:val="None"/>
        </w:rPr>
        <w:t>s</w:t>
      </w:r>
      <w:r w:rsidR="00A14CDC" w:rsidRPr="00996185">
        <w:rPr>
          <w:rStyle w:val="None"/>
        </w:rPr>
        <w:t>.</w:t>
      </w:r>
      <w:r w:rsidRPr="00996185">
        <w:rPr>
          <w:rStyle w:val="None"/>
        </w:rPr>
        <w:t xml:space="preserve"> The fit was carried out after each additional measuring point.</w:t>
      </w:r>
    </w:p>
    <w:p w14:paraId="787B0ACB" w14:textId="3800AFFB" w:rsidR="004A47D4" w:rsidRPr="00996185" w:rsidRDefault="001539A1" w:rsidP="001539A1">
      <w:pPr>
        <w:pStyle w:val="ExperimentalSection"/>
        <w:rPr>
          <w:rStyle w:val="None"/>
          <w:i/>
          <w:u w:val="single"/>
        </w:rPr>
      </w:pPr>
      <w:r w:rsidRPr="00996185">
        <w:rPr>
          <w:rStyle w:val="None"/>
          <w:i/>
          <w:u w:val="single"/>
        </w:rPr>
        <w:t>Data-driven analysis</w:t>
      </w:r>
    </w:p>
    <w:p w14:paraId="235A08B5" w14:textId="3CEFF3A8" w:rsidR="004A47D4" w:rsidRPr="00996185" w:rsidRDefault="00EB2A2E" w:rsidP="001F05BE">
      <w:pPr>
        <w:pStyle w:val="ExperimentalSection"/>
        <w:rPr>
          <w:rStyle w:val="None"/>
        </w:rPr>
      </w:pPr>
      <w:r w:rsidRPr="00996185">
        <w:rPr>
          <w:rStyle w:val="None"/>
        </w:rPr>
        <w:t>All data are extracted from HT experiments with conducting salt (LiPF</w:t>
      </w:r>
      <w:r w:rsidRPr="00996185">
        <w:rPr>
          <w:rStyle w:val="None"/>
          <w:vertAlign w:val="subscript"/>
        </w:rPr>
        <w:t>6</w:t>
      </w:r>
      <w:r w:rsidRPr="00996185">
        <w:rPr>
          <w:rStyle w:val="None"/>
        </w:rPr>
        <w:t xml:space="preserve">), solvent (EC), additive (VC) compositions (X=(x1,x2,x3)) and temperature </w:t>
      </w:r>
      <w:r w:rsidRPr="00996185">
        <w:rPr>
          <w:rStyle w:val="None"/>
        </w:rPr>
        <w:lastRenderedPageBreak/>
        <w:t>(T) as features and ionic conductivity as target quantity</w:t>
      </w:r>
      <w:r w:rsidR="00FD1AA7" w:rsidRPr="00996185">
        <w:rPr>
          <w:rStyle w:val="None"/>
        </w:rPr>
        <w:t>. For details on applied surrogate models and GPR results see the SI document.</w:t>
      </w:r>
    </w:p>
    <w:p w14:paraId="500CBE14" w14:textId="77777777" w:rsidR="004A47D4" w:rsidRPr="00996185" w:rsidRDefault="00EB2A2E" w:rsidP="001F05BE">
      <w:pPr>
        <w:pStyle w:val="HAcknowledgements"/>
        <w:rPr>
          <w:rStyle w:val="None"/>
          <w:color w:val="FF0000"/>
        </w:rPr>
      </w:pPr>
      <w:r w:rsidRPr="00996185">
        <w:rPr>
          <w:rStyle w:val="None"/>
        </w:rPr>
        <w:t>Acknowledgements</w:t>
      </w:r>
    </w:p>
    <w:p w14:paraId="13E4D332" w14:textId="77777777" w:rsidR="004A47D4" w:rsidRPr="00996185" w:rsidRDefault="00EB2A2E" w:rsidP="001F05BE">
      <w:pPr>
        <w:pStyle w:val="Acknowledgements"/>
        <w:rPr>
          <w:rStyle w:val="None"/>
          <w:lang w:val="en-US"/>
        </w:rPr>
      </w:pPr>
      <w:r w:rsidRPr="00996185">
        <w:rPr>
          <w:rStyle w:val="None"/>
          <w:lang w:val="en-US"/>
        </w:rPr>
        <w:t xml:space="preserve">This project has received funding from the European Union’s Horizon 2020 research and innovation programme under </w:t>
      </w:r>
      <w:bookmarkStart w:id="4" w:name="_Hlk94807548"/>
      <w:r w:rsidRPr="00996185">
        <w:rPr>
          <w:rStyle w:val="None"/>
          <w:lang w:val="en-US"/>
        </w:rPr>
        <w:t>grant agreement No 957189</w:t>
      </w:r>
      <w:bookmarkEnd w:id="4"/>
      <w:r w:rsidRPr="00996185">
        <w:rPr>
          <w:rStyle w:val="None"/>
          <w:lang w:val="en-US"/>
        </w:rPr>
        <w:t>. The high-throughput experimentation facility was developed in-house within the project Elektrolytlabor 4</w:t>
      </w:r>
      <w:r w:rsidRPr="00996185">
        <w:rPr>
          <w:rStyle w:val="None"/>
          <w:vertAlign w:val="superscript"/>
          <w:lang w:val="en-US"/>
        </w:rPr>
        <w:t xml:space="preserve">E </w:t>
      </w:r>
      <w:r w:rsidRPr="00996185">
        <w:rPr>
          <w:rStyle w:val="None"/>
          <w:lang w:val="en-US"/>
        </w:rPr>
        <w:t>(project grant number: 03X4632). We acknowledge helpful discussions with Prof. X. Jiang.</w:t>
      </w:r>
    </w:p>
    <w:p w14:paraId="4C86D50B" w14:textId="77777777" w:rsidR="004A47D4" w:rsidRPr="00996185" w:rsidRDefault="00EB2A2E" w:rsidP="001F05BE">
      <w:pPr>
        <w:pStyle w:val="Keywords"/>
        <w:rPr>
          <w:rStyle w:val="None"/>
        </w:rPr>
      </w:pPr>
      <w:r w:rsidRPr="00996185">
        <w:rPr>
          <w:rStyle w:val="None"/>
          <w:b/>
          <w:bCs/>
        </w:rPr>
        <w:t>Keywords:</w:t>
      </w:r>
      <w:r w:rsidRPr="00996185">
        <w:rPr>
          <w:rStyle w:val="None"/>
        </w:rPr>
        <w:t xml:space="preserve"> High-throughput screening • Data driven analysis • Machine learning • Liquid electrolyte • Ionic conductivity </w:t>
      </w:r>
    </w:p>
    <w:p w14:paraId="6BA7E375" w14:textId="77777777" w:rsidR="004A47D4" w:rsidRPr="00996185" w:rsidRDefault="00EB2A2E" w:rsidP="001F05BE">
      <w:pPr>
        <w:pStyle w:val="Keywords"/>
        <w:rPr>
          <w:rStyle w:val="None"/>
          <w:b/>
          <w:bCs/>
          <w:sz w:val="22"/>
          <w:szCs w:val="22"/>
        </w:rPr>
      </w:pPr>
      <w:r w:rsidRPr="00996185">
        <w:rPr>
          <w:rStyle w:val="None"/>
          <w:b/>
          <w:bCs/>
          <w:sz w:val="22"/>
          <w:szCs w:val="22"/>
        </w:rPr>
        <w:t>References</w:t>
      </w:r>
    </w:p>
    <w:p w14:paraId="291CA835" w14:textId="77777777" w:rsidR="00147125" w:rsidRPr="00996185" w:rsidRDefault="00036C68" w:rsidP="001F05BE">
      <w:pPr>
        <w:pStyle w:val="Literaturverzeichnis"/>
        <w:jc w:val="both"/>
        <w:rPr>
          <w:rFonts w:ascii="Arial" w:hAnsi="Arial" w:cs="Arial"/>
          <w:sz w:val="17"/>
          <w:szCs w:val="17"/>
          <w:lang w:val="en-US"/>
        </w:rPr>
      </w:pPr>
      <w:r w:rsidRPr="00996185">
        <w:rPr>
          <w:rStyle w:val="None"/>
          <w:sz w:val="14"/>
          <w:szCs w:val="14"/>
          <w:lang w:val="en-US"/>
        </w:rPr>
        <w:fldChar w:fldCharType="begin"/>
      </w:r>
      <w:r w:rsidRPr="00996185">
        <w:rPr>
          <w:rStyle w:val="None"/>
          <w:sz w:val="14"/>
          <w:szCs w:val="14"/>
          <w:lang w:val="en-US"/>
        </w:rPr>
        <w:instrText xml:space="preserve"> ADDIN ZOTERO_BIBL {"uncited":[],"omitted":[],"custom":[]} CSL_BIBLIOGRAPHY </w:instrText>
      </w:r>
      <w:r w:rsidRPr="00996185">
        <w:rPr>
          <w:rStyle w:val="None"/>
          <w:sz w:val="14"/>
          <w:szCs w:val="14"/>
          <w:lang w:val="en-US"/>
        </w:rPr>
        <w:fldChar w:fldCharType="separate"/>
      </w:r>
      <w:r w:rsidR="00147125" w:rsidRPr="00996185">
        <w:rPr>
          <w:rFonts w:ascii="Arial" w:hAnsi="Arial" w:cs="Arial"/>
          <w:sz w:val="17"/>
          <w:szCs w:val="17"/>
          <w:lang w:val="en-US"/>
        </w:rPr>
        <w:t>[1]</w:t>
      </w:r>
      <w:r w:rsidR="00147125" w:rsidRPr="00996185">
        <w:rPr>
          <w:rFonts w:ascii="Arial" w:hAnsi="Arial" w:cs="Arial"/>
          <w:sz w:val="17"/>
          <w:szCs w:val="17"/>
          <w:lang w:val="en-US"/>
        </w:rPr>
        <w:tab/>
        <w:t xml:space="preserve">S. M. Mennen, C. Alhambra, C. L. Allen, M. Barberis, S. Berritt, T. A. Brandt, A. D. Campbell, J. Castañón, A. H. Cherney, M. Christensen, D. B. Damon, J. Eugenio de Diego, S. García-Cerrada, P. García-Losada, R. Haro, J. Janey, D. C. Leitch, L. Li, F. Liu, P. C. Lobben, D. W. C. MacMillan, J. Magano, E. McInturff, S. Monfette, R. J. Post, D. Schultz, B. J. Sitter, J. M. Stevens, I. I. Strambeanu, J. Twilton, K. Wang, M. A. Zajac, </w:t>
      </w:r>
      <w:r w:rsidR="00147125" w:rsidRPr="00996185">
        <w:rPr>
          <w:rFonts w:ascii="Arial" w:hAnsi="Arial" w:cs="Arial"/>
          <w:i/>
          <w:iCs/>
          <w:sz w:val="17"/>
          <w:szCs w:val="17"/>
          <w:lang w:val="en-US"/>
        </w:rPr>
        <w:t>Org. Process Res. Dev.</w:t>
      </w:r>
      <w:r w:rsidR="00147125" w:rsidRPr="00996185">
        <w:rPr>
          <w:rFonts w:ascii="Arial" w:hAnsi="Arial" w:cs="Arial"/>
          <w:sz w:val="17"/>
          <w:szCs w:val="17"/>
          <w:lang w:val="en-US"/>
        </w:rPr>
        <w:t xml:space="preserve"> </w:t>
      </w:r>
      <w:r w:rsidR="00147125" w:rsidRPr="00996185">
        <w:rPr>
          <w:rFonts w:ascii="Arial" w:hAnsi="Arial" w:cs="Arial"/>
          <w:b/>
          <w:bCs/>
          <w:sz w:val="17"/>
          <w:szCs w:val="17"/>
          <w:lang w:val="en-US"/>
        </w:rPr>
        <w:t>2019</w:t>
      </w:r>
      <w:r w:rsidR="00147125" w:rsidRPr="00996185">
        <w:rPr>
          <w:rFonts w:ascii="Arial" w:hAnsi="Arial" w:cs="Arial"/>
          <w:sz w:val="17"/>
          <w:szCs w:val="17"/>
          <w:lang w:val="en-US"/>
        </w:rPr>
        <w:t xml:space="preserve">, </w:t>
      </w:r>
      <w:r w:rsidR="00147125" w:rsidRPr="00996185">
        <w:rPr>
          <w:rFonts w:ascii="Arial" w:hAnsi="Arial" w:cs="Arial"/>
          <w:i/>
          <w:iCs/>
          <w:sz w:val="17"/>
          <w:szCs w:val="17"/>
          <w:lang w:val="en-US"/>
        </w:rPr>
        <w:t>23</w:t>
      </w:r>
      <w:r w:rsidR="00147125" w:rsidRPr="00996185">
        <w:rPr>
          <w:rFonts w:ascii="Arial" w:hAnsi="Arial" w:cs="Arial"/>
          <w:sz w:val="17"/>
          <w:szCs w:val="17"/>
          <w:lang w:val="en-US"/>
        </w:rPr>
        <w:t>, 1213–1242.</w:t>
      </w:r>
    </w:p>
    <w:p w14:paraId="4B6DC442"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[2]</w:t>
      </w:r>
      <w:r w:rsidRPr="00996185">
        <w:rPr>
          <w:rFonts w:ascii="Arial" w:hAnsi="Arial" w:cs="Arial"/>
          <w:sz w:val="17"/>
          <w:szCs w:val="17"/>
          <w:lang w:val="en-US"/>
        </w:rPr>
        <w:tab/>
        <w:t xml:space="preserve">R. Potyrailo, K. Rajan, K. Stoewe, I. Takeuchi, B. Chisholm, H. Lam, </w:t>
      </w:r>
      <w:r w:rsidRPr="00996185">
        <w:rPr>
          <w:rFonts w:ascii="Arial" w:hAnsi="Arial" w:cs="Arial"/>
          <w:i/>
          <w:iCs/>
          <w:sz w:val="17"/>
          <w:szCs w:val="17"/>
          <w:lang w:val="en-US"/>
        </w:rPr>
        <w:t>ACS Comb. Sci.</w:t>
      </w:r>
      <w:r w:rsidRPr="00996185">
        <w:rPr>
          <w:rFonts w:ascii="Arial" w:hAnsi="Arial" w:cs="Arial"/>
          <w:sz w:val="17"/>
          <w:szCs w:val="17"/>
          <w:lang w:val="en-US"/>
        </w:rPr>
        <w:t xml:space="preserve"> </w:t>
      </w:r>
      <w:r w:rsidRPr="00996185">
        <w:rPr>
          <w:rFonts w:ascii="Arial" w:hAnsi="Arial" w:cs="Arial"/>
          <w:b/>
          <w:bCs/>
          <w:sz w:val="17"/>
          <w:szCs w:val="17"/>
          <w:lang w:val="en-US"/>
        </w:rPr>
        <w:t>2011</w:t>
      </w:r>
      <w:r w:rsidRPr="00996185">
        <w:rPr>
          <w:rFonts w:ascii="Arial" w:hAnsi="Arial" w:cs="Arial"/>
          <w:sz w:val="17"/>
          <w:szCs w:val="17"/>
          <w:lang w:val="en-US"/>
        </w:rPr>
        <w:t xml:space="preserve">, </w:t>
      </w:r>
      <w:r w:rsidRPr="00996185">
        <w:rPr>
          <w:rFonts w:ascii="Arial" w:hAnsi="Arial" w:cs="Arial"/>
          <w:i/>
          <w:iCs/>
          <w:sz w:val="17"/>
          <w:szCs w:val="17"/>
          <w:lang w:val="en-US"/>
        </w:rPr>
        <w:t>13</w:t>
      </w:r>
      <w:r w:rsidRPr="00996185">
        <w:rPr>
          <w:rFonts w:ascii="Arial" w:hAnsi="Arial" w:cs="Arial"/>
          <w:sz w:val="17"/>
          <w:szCs w:val="17"/>
          <w:lang w:val="en-US"/>
        </w:rPr>
        <w:t>, 579–633.</w:t>
      </w:r>
    </w:p>
    <w:p w14:paraId="4D0EEAFF"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[3]</w:t>
      </w:r>
      <w:r w:rsidRPr="00996185">
        <w:rPr>
          <w:rFonts w:ascii="Arial" w:hAnsi="Arial" w:cs="Arial"/>
          <w:sz w:val="17"/>
          <w:szCs w:val="17"/>
          <w:lang w:val="en-US"/>
        </w:rPr>
        <w:tab/>
        <w:t xml:space="preserve">B. Burger, P. M. Maffettone, V. V. Gusev, C. M. Aitchison, Y. Bai, X. Wang, X. Li, B. M. Alston, B. Li, R. Clowes, N. Rankin, B. Harris, R. S. Sprick, A. I. Cooper, </w:t>
      </w:r>
      <w:r w:rsidRPr="00996185">
        <w:rPr>
          <w:rFonts w:ascii="Arial" w:hAnsi="Arial" w:cs="Arial"/>
          <w:i/>
          <w:iCs/>
          <w:sz w:val="17"/>
          <w:szCs w:val="17"/>
          <w:lang w:val="en-US"/>
        </w:rPr>
        <w:t>Nature</w:t>
      </w:r>
      <w:r w:rsidRPr="00996185">
        <w:rPr>
          <w:rFonts w:ascii="Arial" w:hAnsi="Arial" w:cs="Arial"/>
          <w:sz w:val="17"/>
          <w:szCs w:val="17"/>
          <w:lang w:val="en-US"/>
        </w:rPr>
        <w:t xml:space="preserve"> </w:t>
      </w:r>
      <w:r w:rsidRPr="00996185">
        <w:rPr>
          <w:rFonts w:ascii="Arial" w:hAnsi="Arial" w:cs="Arial"/>
          <w:b/>
          <w:bCs/>
          <w:sz w:val="17"/>
          <w:szCs w:val="17"/>
          <w:lang w:val="en-US"/>
        </w:rPr>
        <w:t>2020</w:t>
      </w:r>
      <w:r w:rsidRPr="00996185">
        <w:rPr>
          <w:rFonts w:ascii="Arial" w:hAnsi="Arial" w:cs="Arial"/>
          <w:sz w:val="17"/>
          <w:szCs w:val="17"/>
          <w:lang w:val="en-US"/>
        </w:rPr>
        <w:t xml:space="preserve">, </w:t>
      </w:r>
      <w:r w:rsidRPr="00996185">
        <w:rPr>
          <w:rFonts w:ascii="Arial" w:hAnsi="Arial" w:cs="Arial"/>
          <w:i/>
          <w:iCs/>
          <w:sz w:val="17"/>
          <w:szCs w:val="17"/>
          <w:lang w:val="en-US"/>
        </w:rPr>
        <w:t>583</w:t>
      </w:r>
      <w:r w:rsidRPr="00996185">
        <w:rPr>
          <w:rFonts w:ascii="Arial" w:hAnsi="Arial" w:cs="Arial"/>
          <w:sz w:val="17"/>
          <w:szCs w:val="17"/>
          <w:lang w:val="en-US"/>
        </w:rPr>
        <w:t>, 237–241.</w:t>
      </w:r>
    </w:p>
    <w:p w14:paraId="505A1C5E" w14:textId="77777777" w:rsidR="00147125" w:rsidRPr="00996185" w:rsidRDefault="00147125" w:rsidP="001F05BE">
      <w:pPr>
        <w:pStyle w:val="Literaturverzeichnis"/>
        <w:jc w:val="both"/>
        <w:rPr>
          <w:rFonts w:ascii="Arial" w:hAnsi="Arial" w:cs="Arial"/>
          <w:sz w:val="17"/>
          <w:szCs w:val="17"/>
        </w:rPr>
      </w:pPr>
      <w:r w:rsidRPr="00996185">
        <w:rPr>
          <w:rFonts w:ascii="Arial" w:hAnsi="Arial" w:cs="Arial"/>
          <w:sz w:val="17"/>
          <w:szCs w:val="17"/>
          <w:lang w:val="en-US"/>
        </w:rPr>
        <w:t>[4]</w:t>
      </w:r>
      <w:r w:rsidRPr="00996185">
        <w:rPr>
          <w:rFonts w:ascii="Arial" w:hAnsi="Arial" w:cs="Arial"/>
          <w:sz w:val="17"/>
          <w:szCs w:val="17"/>
          <w:lang w:val="en-US"/>
        </w:rPr>
        <w:tab/>
        <w:t xml:space="preserve">M. Shevlin, </w:t>
      </w:r>
      <w:r w:rsidRPr="00996185">
        <w:rPr>
          <w:rFonts w:ascii="Arial" w:hAnsi="Arial" w:cs="Arial"/>
          <w:i/>
          <w:iCs/>
          <w:sz w:val="17"/>
          <w:szCs w:val="17"/>
          <w:lang w:val="en-US"/>
        </w:rPr>
        <w:t xml:space="preserve">ACS Med. Chem. </w:t>
      </w:r>
      <w:r w:rsidRPr="00996185">
        <w:rPr>
          <w:rFonts w:ascii="Arial" w:hAnsi="Arial" w:cs="Arial"/>
          <w:i/>
          <w:iCs/>
          <w:sz w:val="17"/>
          <w:szCs w:val="17"/>
        </w:rPr>
        <w:t>Lett.</w:t>
      </w:r>
      <w:r w:rsidRPr="00996185">
        <w:rPr>
          <w:rFonts w:ascii="Arial" w:hAnsi="Arial" w:cs="Arial"/>
          <w:sz w:val="17"/>
          <w:szCs w:val="17"/>
        </w:rPr>
        <w:t xml:space="preserve"> </w:t>
      </w:r>
      <w:r w:rsidRPr="00996185">
        <w:rPr>
          <w:rFonts w:ascii="Arial" w:hAnsi="Arial" w:cs="Arial"/>
          <w:b/>
          <w:bCs/>
          <w:sz w:val="17"/>
          <w:szCs w:val="17"/>
        </w:rPr>
        <w:t>2017</w:t>
      </w:r>
      <w:r w:rsidRPr="00996185">
        <w:rPr>
          <w:rFonts w:ascii="Arial" w:hAnsi="Arial" w:cs="Arial"/>
          <w:sz w:val="17"/>
          <w:szCs w:val="17"/>
        </w:rPr>
        <w:t xml:space="preserve">, </w:t>
      </w:r>
      <w:r w:rsidRPr="00996185">
        <w:rPr>
          <w:rFonts w:ascii="Arial" w:hAnsi="Arial" w:cs="Arial"/>
          <w:i/>
          <w:iCs/>
          <w:sz w:val="17"/>
          <w:szCs w:val="17"/>
        </w:rPr>
        <w:t>8</w:t>
      </w:r>
      <w:r w:rsidRPr="00996185">
        <w:rPr>
          <w:rFonts w:ascii="Arial" w:hAnsi="Arial" w:cs="Arial"/>
          <w:sz w:val="17"/>
          <w:szCs w:val="17"/>
        </w:rPr>
        <w:t>, 601–607.</w:t>
      </w:r>
    </w:p>
    <w:p w14:paraId="2BFF12EC" w14:textId="77777777" w:rsidR="00147125" w:rsidRPr="00996185" w:rsidRDefault="00147125" w:rsidP="001F05BE">
      <w:pPr>
        <w:pStyle w:val="Literaturverzeichnis"/>
        <w:jc w:val="both"/>
        <w:rPr>
          <w:rFonts w:ascii="Arial" w:hAnsi="Arial" w:cs="Arial"/>
          <w:sz w:val="17"/>
          <w:szCs w:val="17"/>
        </w:rPr>
      </w:pPr>
      <w:r w:rsidRPr="00996185">
        <w:rPr>
          <w:rFonts w:ascii="Arial" w:hAnsi="Arial" w:cs="Arial"/>
          <w:sz w:val="17"/>
          <w:szCs w:val="17"/>
        </w:rPr>
        <w:t>[5]</w:t>
      </w:r>
      <w:r w:rsidRPr="00996185">
        <w:rPr>
          <w:rFonts w:ascii="Arial" w:hAnsi="Arial" w:cs="Arial"/>
          <w:sz w:val="17"/>
          <w:szCs w:val="17"/>
        </w:rPr>
        <w:tab/>
        <w:t xml:space="preserve">M. Benz, A. Asperger, M. Hamester, A. Welle, S. Heissler, P. A. Levkin, </w:t>
      </w:r>
      <w:r w:rsidRPr="00996185">
        <w:rPr>
          <w:rFonts w:ascii="Arial" w:hAnsi="Arial" w:cs="Arial"/>
          <w:i/>
          <w:iCs/>
          <w:sz w:val="17"/>
          <w:szCs w:val="17"/>
        </w:rPr>
        <w:t>Nat. Commun.</w:t>
      </w:r>
      <w:r w:rsidRPr="00996185">
        <w:rPr>
          <w:rFonts w:ascii="Arial" w:hAnsi="Arial" w:cs="Arial"/>
          <w:sz w:val="17"/>
          <w:szCs w:val="17"/>
        </w:rPr>
        <w:t xml:space="preserve"> </w:t>
      </w:r>
      <w:r w:rsidRPr="00996185">
        <w:rPr>
          <w:rFonts w:ascii="Arial" w:hAnsi="Arial" w:cs="Arial"/>
          <w:b/>
          <w:bCs/>
          <w:sz w:val="17"/>
          <w:szCs w:val="17"/>
        </w:rPr>
        <w:t>2020</w:t>
      </w:r>
      <w:r w:rsidRPr="00996185">
        <w:rPr>
          <w:rFonts w:ascii="Arial" w:hAnsi="Arial" w:cs="Arial"/>
          <w:sz w:val="17"/>
          <w:szCs w:val="17"/>
        </w:rPr>
        <w:t xml:space="preserve">, </w:t>
      </w:r>
      <w:r w:rsidRPr="00996185">
        <w:rPr>
          <w:rFonts w:ascii="Arial" w:hAnsi="Arial" w:cs="Arial"/>
          <w:i/>
          <w:iCs/>
          <w:sz w:val="17"/>
          <w:szCs w:val="17"/>
        </w:rPr>
        <w:t>11</w:t>
      </w:r>
      <w:r w:rsidRPr="00996185">
        <w:rPr>
          <w:rFonts w:ascii="Arial" w:hAnsi="Arial" w:cs="Arial"/>
          <w:sz w:val="17"/>
          <w:szCs w:val="17"/>
        </w:rPr>
        <w:t>, 5391.</w:t>
      </w:r>
    </w:p>
    <w:p w14:paraId="7385BA3A" w14:textId="77777777" w:rsidR="00147125" w:rsidRPr="00996185" w:rsidRDefault="00147125" w:rsidP="001F05BE">
      <w:pPr>
        <w:pStyle w:val="Literaturverzeichnis"/>
        <w:jc w:val="both"/>
        <w:rPr>
          <w:rFonts w:ascii="Arial" w:hAnsi="Arial" w:cs="Arial"/>
          <w:sz w:val="17"/>
          <w:szCs w:val="17"/>
        </w:rPr>
      </w:pPr>
      <w:r w:rsidRPr="00996185">
        <w:rPr>
          <w:rFonts w:ascii="Arial" w:hAnsi="Arial" w:cs="Arial"/>
          <w:sz w:val="17"/>
          <w:szCs w:val="17"/>
        </w:rPr>
        <w:t>[6]</w:t>
      </w:r>
      <w:r w:rsidRPr="00996185">
        <w:rPr>
          <w:rFonts w:ascii="Arial" w:hAnsi="Arial" w:cs="Arial"/>
          <w:sz w:val="17"/>
          <w:szCs w:val="17"/>
        </w:rPr>
        <w:tab/>
        <w:t xml:space="preserve">P. Szymański, M. Markowicz, E. Mikiciuk-Olasik, </w:t>
      </w:r>
      <w:r w:rsidRPr="00996185">
        <w:rPr>
          <w:rFonts w:ascii="Arial" w:hAnsi="Arial" w:cs="Arial"/>
          <w:i/>
          <w:iCs/>
          <w:sz w:val="17"/>
          <w:szCs w:val="17"/>
        </w:rPr>
        <w:t>Int. J. Mol. Sci.</w:t>
      </w:r>
      <w:r w:rsidRPr="00996185">
        <w:rPr>
          <w:rFonts w:ascii="Arial" w:hAnsi="Arial" w:cs="Arial"/>
          <w:sz w:val="17"/>
          <w:szCs w:val="17"/>
        </w:rPr>
        <w:t xml:space="preserve"> </w:t>
      </w:r>
      <w:r w:rsidRPr="00996185">
        <w:rPr>
          <w:rFonts w:ascii="Arial" w:hAnsi="Arial" w:cs="Arial"/>
          <w:b/>
          <w:bCs/>
          <w:sz w:val="17"/>
          <w:szCs w:val="17"/>
        </w:rPr>
        <w:t>2011</w:t>
      </w:r>
      <w:r w:rsidRPr="00996185">
        <w:rPr>
          <w:rFonts w:ascii="Arial" w:hAnsi="Arial" w:cs="Arial"/>
          <w:sz w:val="17"/>
          <w:szCs w:val="17"/>
        </w:rPr>
        <w:t xml:space="preserve">, </w:t>
      </w:r>
      <w:r w:rsidRPr="00996185">
        <w:rPr>
          <w:rFonts w:ascii="Arial" w:hAnsi="Arial" w:cs="Arial"/>
          <w:i/>
          <w:iCs/>
          <w:sz w:val="17"/>
          <w:szCs w:val="17"/>
        </w:rPr>
        <w:t>13</w:t>
      </w:r>
      <w:r w:rsidRPr="00996185">
        <w:rPr>
          <w:rFonts w:ascii="Arial" w:hAnsi="Arial" w:cs="Arial"/>
          <w:sz w:val="17"/>
          <w:szCs w:val="17"/>
        </w:rPr>
        <w:t>, 427–452.</w:t>
      </w:r>
    </w:p>
    <w:p w14:paraId="6C4642BF"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[7]</w:t>
      </w:r>
      <w:r w:rsidRPr="00996185">
        <w:rPr>
          <w:rFonts w:ascii="Arial" w:hAnsi="Arial" w:cs="Arial"/>
          <w:sz w:val="17"/>
          <w:szCs w:val="17"/>
          <w:lang w:val="en-US"/>
        </w:rPr>
        <w:tab/>
        <w:t xml:space="preserve">J. R. Hattrick-Simpers, J. M. Gregoire, A. G. Kusne, </w:t>
      </w:r>
      <w:r w:rsidRPr="00996185">
        <w:rPr>
          <w:rFonts w:ascii="Arial" w:hAnsi="Arial" w:cs="Arial"/>
          <w:i/>
          <w:iCs/>
          <w:sz w:val="17"/>
          <w:szCs w:val="17"/>
          <w:lang w:val="en-US"/>
        </w:rPr>
        <w:t>APL Mater.</w:t>
      </w:r>
      <w:r w:rsidRPr="00996185">
        <w:rPr>
          <w:rFonts w:ascii="Arial" w:hAnsi="Arial" w:cs="Arial"/>
          <w:sz w:val="17"/>
          <w:szCs w:val="17"/>
          <w:lang w:val="en-US"/>
        </w:rPr>
        <w:t xml:space="preserve"> </w:t>
      </w:r>
      <w:r w:rsidRPr="00996185">
        <w:rPr>
          <w:rFonts w:ascii="Arial" w:hAnsi="Arial" w:cs="Arial"/>
          <w:b/>
          <w:bCs/>
          <w:sz w:val="17"/>
          <w:szCs w:val="17"/>
          <w:lang w:val="en-US"/>
        </w:rPr>
        <w:t>2016</w:t>
      </w:r>
      <w:r w:rsidRPr="00996185">
        <w:rPr>
          <w:rFonts w:ascii="Arial" w:hAnsi="Arial" w:cs="Arial"/>
          <w:sz w:val="17"/>
          <w:szCs w:val="17"/>
          <w:lang w:val="en-US"/>
        </w:rPr>
        <w:t xml:space="preserve">, </w:t>
      </w:r>
      <w:r w:rsidRPr="00996185">
        <w:rPr>
          <w:rFonts w:ascii="Arial" w:hAnsi="Arial" w:cs="Arial"/>
          <w:i/>
          <w:iCs/>
          <w:sz w:val="17"/>
          <w:szCs w:val="17"/>
          <w:lang w:val="en-US"/>
        </w:rPr>
        <w:t>4</w:t>
      </w:r>
      <w:r w:rsidRPr="00996185">
        <w:rPr>
          <w:rFonts w:ascii="Arial" w:hAnsi="Arial" w:cs="Arial"/>
          <w:sz w:val="17"/>
          <w:szCs w:val="17"/>
          <w:lang w:val="en-US"/>
        </w:rPr>
        <w:t>, 053211.</w:t>
      </w:r>
    </w:p>
    <w:p w14:paraId="5E7B8701"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[8]</w:t>
      </w:r>
      <w:r w:rsidRPr="00996185">
        <w:rPr>
          <w:rFonts w:ascii="Arial" w:hAnsi="Arial" w:cs="Arial"/>
          <w:sz w:val="17"/>
          <w:szCs w:val="17"/>
          <w:lang w:val="en-US"/>
        </w:rPr>
        <w:tab/>
        <w:t xml:space="preserve">N. Blow, </w:t>
      </w:r>
      <w:r w:rsidRPr="00996185">
        <w:rPr>
          <w:rFonts w:ascii="Arial" w:hAnsi="Arial" w:cs="Arial"/>
          <w:i/>
          <w:iCs/>
          <w:sz w:val="17"/>
          <w:szCs w:val="17"/>
          <w:lang w:val="en-US"/>
        </w:rPr>
        <w:t>Nat. Methods</w:t>
      </w:r>
      <w:r w:rsidRPr="00996185">
        <w:rPr>
          <w:rFonts w:ascii="Arial" w:hAnsi="Arial" w:cs="Arial"/>
          <w:sz w:val="17"/>
          <w:szCs w:val="17"/>
          <w:lang w:val="en-US"/>
        </w:rPr>
        <w:t xml:space="preserve"> </w:t>
      </w:r>
      <w:r w:rsidRPr="00996185">
        <w:rPr>
          <w:rFonts w:ascii="Arial" w:hAnsi="Arial" w:cs="Arial"/>
          <w:b/>
          <w:bCs/>
          <w:sz w:val="17"/>
          <w:szCs w:val="17"/>
          <w:lang w:val="en-US"/>
        </w:rPr>
        <w:t>2009</w:t>
      </w:r>
      <w:r w:rsidRPr="00996185">
        <w:rPr>
          <w:rFonts w:ascii="Arial" w:hAnsi="Arial" w:cs="Arial"/>
          <w:sz w:val="17"/>
          <w:szCs w:val="17"/>
          <w:lang w:val="en-US"/>
        </w:rPr>
        <w:t xml:space="preserve">, </w:t>
      </w:r>
      <w:r w:rsidRPr="00996185">
        <w:rPr>
          <w:rFonts w:ascii="Arial" w:hAnsi="Arial" w:cs="Arial"/>
          <w:i/>
          <w:iCs/>
          <w:sz w:val="17"/>
          <w:szCs w:val="17"/>
          <w:lang w:val="en-US"/>
        </w:rPr>
        <w:t>6</w:t>
      </w:r>
      <w:r w:rsidRPr="00996185">
        <w:rPr>
          <w:rFonts w:ascii="Arial" w:hAnsi="Arial" w:cs="Arial"/>
          <w:sz w:val="17"/>
          <w:szCs w:val="17"/>
          <w:lang w:val="en-US"/>
        </w:rPr>
        <w:t>, 105–108.</w:t>
      </w:r>
    </w:p>
    <w:p w14:paraId="43F727AD"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[9]</w:t>
      </w:r>
      <w:r w:rsidRPr="00996185">
        <w:rPr>
          <w:rFonts w:ascii="Arial" w:hAnsi="Arial" w:cs="Arial"/>
          <w:sz w:val="17"/>
          <w:szCs w:val="17"/>
          <w:lang w:val="en-US"/>
        </w:rPr>
        <w:tab/>
        <w:t xml:space="preserve">S. Chakraboty, W. Xie, N. Mathews, M. Sherburne, R. Ahuja, M. Asta, S. G. Mhaisalkar, </w:t>
      </w:r>
      <w:r w:rsidRPr="00996185">
        <w:rPr>
          <w:rFonts w:ascii="Arial" w:hAnsi="Arial" w:cs="Arial"/>
          <w:i/>
          <w:iCs/>
          <w:sz w:val="17"/>
          <w:szCs w:val="17"/>
          <w:lang w:val="en-US"/>
        </w:rPr>
        <w:t>ACS Energy Lett.</w:t>
      </w:r>
      <w:r w:rsidRPr="00996185">
        <w:rPr>
          <w:rFonts w:ascii="Arial" w:hAnsi="Arial" w:cs="Arial"/>
          <w:sz w:val="17"/>
          <w:szCs w:val="17"/>
          <w:lang w:val="en-US"/>
        </w:rPr>
        <w:t xml:space="preserve"> </w:t>
      </w:r>
      <w:r w:rsidRPr="00996185">
        <w:rPr>
          <w:rFonts w:ascii="Arial" w:hAnsi="Arial" w:cs="Arial"/>
          <w:b/>
          <w:bCs/>
          <w:sz w:val="17"/>
          <w:szCs w:val="17"/>
          <w:lang w:val="en-US"/>
        </w:rPr>
        <w:t>2017</w:t>
      </w:r>
      <w:r w:rsidRPr="00996185">
        <w:rPr>
          <w:rFonts w:ascii="Arial" w:hAnsi="Arial" w:cs="Arial"/>
          <w:sz w:val="17"/>
          <w:szCs w:val="17"/>
          <w:lang w:val="en-US"/>
        </w:rPr>
        <w:t xml:space="preserve">, </w:t>
      </w:r>
      <w:r w:rsidRPr="00996185">
        <w:rPr>
          <w:rFonts w:ascii="Arial" w:hAnsi="Arial" w:cs="Arial"/>
          <w:i/>
          <w:iCs/>
          <w:sz w:val="17"/>
          <w:szCs w:val="17"/>
          <w:lang w:val="en-US"/>
        </w:rPr>
        <w:t>2</w:t>
      </w:r>
      <w:r w:rsidRPr="00996185">
        <w:rPr>
          <w:rFonts w:ascii="Arial" w:hAnsi="Arial" w:cs="Arial"/>
          <w:sz w:val="17"/>
          <w:szCs w:val="17"/>
          <w:lang w:val="en-US"/>
        </w:rPr>
        <w:t>, 837–845.</w:t>
      </w:r>
    </w:p>
    <w:p w14:paraId="7BB9EA6A"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[10]</w:t>
      </w:r>
      <w:r w:rsidRPr="00996185">
        <w:rPr>
          <w:rFonts w:ascii="Arial" w:hAnsi="Arial" w:cs="Arial"/>
          <w:sz w:val="17"/>
          <w:szCs w:val="17"/>
          <w:lang w:val="en-US"/>
        </w:rPr>
        <w:tab/>
        <w:t xml:space="preserve">B. P. MacLeod, F. G. L. Parlane, T. D. Morrissey, F. Häse, L. M. Roch, K. E. Dettelbach, R. Moreira, L. P. E. Yunker, M. B. Rooney, J. R. Deeth, V. Lai, G. J. Ng, H. Situ, R. H. Zhang, M. S. Elliott, T. H. Haley, D. J. Dvorak, A. Aspuru-Guzik, J. E. Hein, C. P. Berlinguette, </w:t>
      </w:r>
      <w:r w:rsidRPr="00996185">
        <w:rPr>
          <w:rFonts w:ascii="Arial" w:hAnsi="Arial" w:cs="Arial"/>
          <w:i/>
          <w:iCs/>
          <w:sz w:val="17"/>
          <w:szCs w:val="17"/>
          <w:lang w:val="en-US"/>
        </w:rPr>
        <w:t>Sci. Adv.</w:t>
      </w:r>
      <w:r w:rsidRPr="00996185">
        <w:rPr>
          <w:rFonts w:ascii="Arial" w:hAnsi="Arial" w:cs="Arial"/>
          <w:sz w:val="17"/>
          <w:szCs w:val="17"/>
          <w:lang w:val="en-US"/>
        </w:rPr>
        <w:t xml:space="preserve"> </w:t>
      </w:r>
      <w:r w:rsidRPr="00996185">
        <w:rPr>
          <w:rFonts w:ascii="Arial" w:hAnsi="Arial" w:cs="Arial"/>
          <w:b/>
          <w:bCs/>
          <w:sz w:val="17"/>
          <w:szCs w:val="17"/>
          <w:lang w:val="en-US"/>
        </w:rPr>
        <w:t>2020</w:t>
      </w:r>
      <w:r w:rsidRPr="00996185">
        <w:rPr>
          <w:rFonts w:ascii="Arial" w:hAnsi="Arial" w:cs="Arial"/>
          <w:sz w:val="17"/>
          <w:szCs w:val="17"/>
          <w:lang w:val="en-US"/>
        </w:rPr>
        <w:t xml:space="preserve">, </w:t>
      </w:r>
      <w:r w:rsidRPr="00996185">
        <w:rPr>
          <w:rFonts w:ascii="Arial" w:hAnsi="Arial" w:cs="Arial"/>
          <w:i/>
          <w:iCs/>
          <w:sz w:val="17"/>
          <w:szCs w:val="17"/>
          <w:lang w:val="en-US"/>
        </w:rPr>
        <w:t>6</w:t>
      </w:r>
      <w:r w:rsidRPr="00996185">
        <w:rPr>
          <w:rFonts w:ascii="Arial" w:hAnsi="Arial" w:cs="Arial"/>
          <w:sz w:val="17"/>
          <w:szCs w:val="17"/>
          <w:lang w:val="en-US"/>
        </w:rPr>
        <w:t>, eaaz8867.</w:t>
      </w:r>
    </w:p>
    <w:p w14:paraId="2662EB28"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[11]</w:t>
      </w:r>
      <w:r w:rsidRPr="00996185">
        <w:rPr>
          <w:rFonts w:ascii="Arial" w:hAnsi="Arial" w:cs="Arial"/>
          <w:sz w:val="17"/>
          <w:szCs w:val="17"/>
          <w:lang w:val="en-US"/>
        </w:rPr>
        <w:tab/>
        <w:t xml:space="preserve">J. G. de Vries, L. Lefort, </w:t>
      </w:r>
      <w:r w:rsidRPr="00996185">
        <w:rPr>
          <w:rFonts w:ascii="Arial" w:hAnsi="Arial" w:cs="Arial"/>
          <w:i/>
          <w:iCs/>
          <w:sz w:val="17"/>
          <w:szCs w:val="17"/>
          <w:lang w:val="en-US"/>
        </w:rPr>
        <w:t>Oil Gas Sci. Technol. – Rev. D’IFP Energ. Nouv.</w:t>
      </w:r>
      <w:r w:rsidRPr="00996185">
        <w:rPr>
          <w:rFonts w:ascii="Arial" w:hAnsi="Arial" w:cs="Arial"/>
          <w:sz w:val="17"/>
          <w:szCs w:val="17"/>
          <w:lang w:val="en-US"/>
        </w:rPr>
        <w:t xml:space="preserve"> </w:t>
      </w:r>
      <w:r w:rsidRPr="00996185">
        <w:rPr>
          <w:rFonts w:ascii="Arial" w:hAnsi="Arial" w:cs="Arial"/>
          <w:b/>
          <w:bCs/>
          <w:sz w:val="17"/>
          <w:szCs w:val="17"/>
          <w:lang w:val="en-US"/>
        </w:rPr>
        <w:t>2013</w:t>
      </w:r>
      <w:r w:rsidRPr="00996185">
        <w:rPr>
          <w:rFonts w:ascii="Arial" w:hAnsi="Arial" w:cs="Arial"/>
          <w:sz w:val="17"/>
          <w:szCs w:val="17"/>
          <w:lang w:val="en-US"/>
        </w:rPr>
        <w:t xml:space="preserve">, </w:t>
      </w:r>
      <w:r w:rsidRPr="00996185">
        <w:rPr>
          <w:rFonts w:ascii="Arial" w:hAnsi="Arial" w:cs="Arial"/>
          <w:i/>
          <w:iCs/>
          <w:sz w:val="17"/>
          <w:szCs w:val="17"/>
          <w:lang w:val="en-US"/>
        </w:rPr>
        <w:t>68</w:t>
      </w:r>
      <w:r w:rsidRPr="00996185">
        <w:rPr>
          <w:rFonts w:ascii="Arial" w:hAnsi="Arial" w:cs="Arial"/>
          <w:sz w:val="17"/>
          <w:szCs w:val="17"/>
          <w:lang w:val="en-US"/>
        </w:rPr>
        <w:t>, 519–528.</w:t>
      </w:r>
    </w:p>
    <w:p w14:paraId="3BE420BE"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[12]</w:t>
      </w:r>
      <w:r w:rsidRPr="00996185">
        <w:rPr>
          <w:rFonts w:ascii="Arial" w:hAnsi="Arial" w:cs="Arial"/>
          <w:sz w:val="17"/>
          <w:szCs w:val="17"/>
          <w:lang w:val="en-US"/>
        </w:rPr>
        <w:tab/>
        <w:t xml:space="preserve">R. Hahn, M. Ferch, K. Tribowski, N. A. Kyeremateng, K. Hoeppner, K. Marquardt, K.-D. Lang, W. Bock, </w:t>
      </w:r>
      <w:r w:rsidRPr="00996185">
        <w:rPr>
          <w:rFonts w:ascii="Arial" w:hAnsi="Arial" w:cs="Arial"/>
          <w:i/>
          <w:iCs/>
          <w:sz w:val="17"/>
          <w:szCs w:val="17"/>
          <w:lang w:val="en-US"/>
        </w:rPr>
        <w:t>Microsyst. Technol.</w:t>
      </w:r>
      <w:r w:rsidRPr="00996185">
        <w:rPr>
          <w:rFonts w:ascii="Arial" w:hAnsi="Arial" w:cs="Arial"/>
          <w:sz w:val="17"/>
          <w:szCs w:val="17"/>
          <w:lang w:val="en-US"/>
        </w:rPr>
        <w:t xml:space="preserve"> </w:t>
      </w:r>
      <w:r w:rsidRPr="00996185">
        <w:rPr>
          <w:rFonts w:ascii="Arial" w:hAnsi="Arial" w:cs="Arial"/>
          <w:b/>
          <w:bCs/>
          <w:sz w:val="17"/>
          <w:szCs w:val="17"/>
          <w:lang w:val="en-US"/>
        </w:rPr>
        <w:t>2019</w:t>
      </w:r>
      <w:r w:rsidRPr="00996185">
        <w:rPr>
          <w:rFonts w:ascii="Arial" w:hAnsi="Arial" w:cs="Arial"/>
          <w:sz w:val="17"/>
          <w:szCs w:val="17"/>
          <w:lang w:val="en-US"/>
        </w:rPr>
        <w:t xml:space="preserve">, </w:t>
      </w:r>
      <w:r w:rsidRPr="00996185">
        <w:rPr>
          <w:rFonts w:ascii="Arial" w:hAnsi="Arial" w:cs="Arial"/>
          <w:i/>
          <w:iCs/>
          <w:sz w:val="17"/>
          <w:szCs w:val="17"/>
          <w:lang w:val="en-US"/>
        </w:rPr>
        <w:t>25</w:t>
      </w:r>
      <w:r w:rsidRPr="00996185">
        <w:rPr>
          <w:rFonts w:ascii="Arial" w:hAnsi="Arial" w:cs="Arial"/>
          <w:sz w:val="17"/>
          <w:szCs w:val="17"/>
          <w:lang w:val="en-US"/>
        </w:rPr>
        <w:t>, 1137–1149.</w:t>
      </w:r>
    </w:p>
    <w:p w14:paraId="39C8F03E"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[13]</w:t>
      </w:r>
      <w:r w:rsidRPr="00996185">
        <w:rPr>
          <w:rFonts w:ascii="Arial" w:hAnsi="Arial" w:cs="Arial"/>
          <w:sz w:val="17"/>
          <w:szCs w:val="17"/>
          <w:lang w:val="en-US"/>
        </w:rPr>
        <w:tab/>
        <w:t xml:space="preserve">A. Dave, J. Mitchell, S. Burke, H. Lin, J. Whitacre, V. Viswanathan, </w:t>
      </w:r>
      <w:r w:rsidRPr="00996185">
        <w:rPr>
          <w:rFonts w:ascii="Arial" w:hAnsi="Arial" w:cs="Arial"/>
          <w:b/>
          <w:bCs/>
          <w:sz w:val="17"/>
          <w:szCs w:val="17"/>
          <w:lang w:val="en-US"/>
        </w:rPr>
        <w:t>2021</w:t>
      </w:r>
      <w:r w:rsidRPr="00996185">
        <w:rPr>
          <w:rFonts w:ascii="Arial" w:hAnsi="Arial" w:cs="Arial"/>
          <w:sz w:val="17"/>
          <w:szCs w:val="17"/>
          <w:lang w:val="en-US"/>
        </w:rPr>
        <w:t>, DOI 10.48550/ARXIV.2111.14786.</w:t>
      </w:r>
    </w:p>
    <w:p w14:paraId="6CB53E7B"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[14]</w:t>
      </w:r>
      <w:r w:rsidRPr="00996185">
        <w:rPr>
          <w:rFonts w:ascii="Arial" w:hAnsi="Arial" w:cs="Arial"/>
          <w:sz w:val="17"/>
          <w:szCs w:val="17"/>
          <w:lang w:val="en-US"/>
        </w:rPr>
        <w:tab/>
        <w:t xml:space="preserve">L. Cheng, R. S. Assary, X. Qu, A. Jain, S. P. Ong, N. N. Rajput, K. Persson, L. A. Curtiss, </w:t>
      </w:r>
      <w:r w:rsidRPr="00996185">
        <w:rPr>
          <w:rFonts w:ascii="Arial" w:hAnsi="Arial" w:cs="Arial"/>
          <w:i/>
          <w:iCs/>
          <w:sz w:val="17"/>
          <w:szCs w:val="17"/>
          <w:lang w:val="en-US"/>
        </w:rPr>
        <w:t>J. Phys. Chem. Lett.</w:t>
      </w:r>
      <w:r w:rsidRPr="00996185">
        <w:rPr>
          <w:rFonts w:ascii="Arial" w:hAnsi="Arial" w:cs="Arial"/>
          <w:sz w:val="17"/>
          <w:szCs w:val="17"/>
          <w:lang w:val="en-US"/>
        </w:rPr>
        <w:t xml:space="preserve"> </w:t>
      </w:r>
      <w:r w:rsidRPr="00996185">
        <w:rPr>
          <w:rFonts w:ascii="Arial" w:hAnsi="Arial" w:cs="Arial"/>
          <w:b/>
          <w:bCs/>
          <w:sz w:val="17"/>
          <w:szCs w:val="17"/>
          <w:lang w:val="en-US"/>
        </w:rPr>
        <w:t>2015</w:t>
      </w:r>
      <w:r w:rsidRPr="00996185">
        <w:rPr>
          <w:rFonts w:ascii="Arial" w:hAnsi="Arial" w:cs="Arial"/>
          <w:sz w:val="17"/>
          <w:szCs w:val="17"/>
          <w:lang w:val="en-US"/>
        </w:rPr>
        <w:t xml:space="preserve">, </w:t>
      </w:r>
      <w:r w:rsidRPr="00996185">
        <w:rPr>
          <w:rFonts w:ascii="Arial" w:hAnsi="Arial" w:cs="Arial"/>
          <w:i/>
          <w:iCs/>
          <w:sz w:val="17"/>
          <w:szCs w:val="17"/>
          <w:lang w:val="en-US"/>
        </w:rPr>
        <w:t>6</w:t>
      </w:r>
      <w:r w:rsidRPr="00996185">
        <w:rPr>
          <w:rFonts w:ascii="Arial" w:hAnsi="Arial" w:cs="Arial"/>
          <w:sz w:val="17"/>
          <w:szCs w:val="17"/>
          <w:lang w:val="en-US"/>
        </w:rPr>
        <w:t>, 283–291.</w:t>
      </w:r>
    </w:p>
    <w:p w14:paraId="002AEB39" w14:textId="77777777" w:rsidR="00147125" w:rsidRPr="00996185" w:rsidRDefault="00147125" w:rsidP="001F05BE">
      <w:pPr>
        <w:pStyle w:val="Literaturverzeichnis"/>
        <w:jc w:val="both"/>
        <w:rPr>
          <w:rFonts w:ascii="Arial" w:hAnsi="Arial" w:cs="Arial"/>
          <w:sz w:val="17"/>
          <w:szCs w:val="17"/>
        </w:rPr>
      </w:pPr>
      <w:r w:rsidRPr="00996185">
        <w:rPr>
          <w:rFonts w:ascii="Arial" w:hAnsi="Arial" w:cs="Arial"/>
          <w:sz w:val="17"/>
          <w:szCs w:val="17"/>
          <w:lang w:val="en-US"/>
        </w:rPr>
        <w:t>[15]</w:t>
      </w:r>
      <w:r w:rsidRPr="00996185">
        <w:rPr>
          <w:rFonts w:ascii="Arial" w:hAnsi="Arial" w:cs="Arial"/>
          <w:sz w:val="17"/>
          <w:szCs w:val="17"/>
          <w:lang w:val="en-US"/>
        </w:rPr>
        <w:tab/>
        <w:t xml:space="preserve">C. Lv, X. Zhou, L. Zhong, C. Yan, M. Srinivasan, Z. W. Seh, C. Liu, H. Pan, S. Li, Y. Wen, Q. Yan, </w:t>
      </w:r>
      <w:r w:rsidRPr="00996185">
        <w:rPr>
          <w:rFonts w:ascii="Arial" w:hAnsi="Arial" w:cs="Arial"/>
          <w:i/>
          <w:iCs/>
          <w:sz w:val="17"/>
          <w:szCs w:val="17"/>
          <w:lang w:val="en-US"/>
        </w:rPr>
        <w:t xml:space="preserve">Adv. </w:t>
      </w:r>
      <w:r w:rsidRPr="00996185">
        <w:rPr>
          <w:rFonts w:ascii="Arial" w:hAnsi="Arial" w:cs="Arial"/>
          <w:i/>
          <w:iCs/>
          <w:sz w:val="17"/>
          <w:szCs w:val="17"/>
        </w:rPr>
        <w:t>Mater.</w:t>
      </w:r>
      <w:r w:rsidRPr="00996185">
        <w:rPr>
          <w:rFonts w:ascii="Arial" w:hAnsi="Arial" w:cs="Arial"/>
          <w:sz w:val="17"/>
          <w:szCs w:val="17"/>
        </w:rPr>
        <w:t xml:space="preserve"> </w:t>
      </w:r>
      <w:r w:rsidRPr="00996185">
        <w:rPr>
          <w:rFonts w:ascii="Arial" w:hAnsi="Arial" w:cs="Arial"/>
          <w:b/>
          <w:bCs/>
          <w:sz w:val="17"/>
          <w:szCs w:val="17"/>
        </w:rPr>
        <w:t>2021</w:t>
      </w:r>
      <w:r w:rsidRPr="00996185">
        <w:rPr>
          <w:rFonts w:ascii="Arial" w:hAnsi="Arial" w:cs="Arial"/>
          <w:sz w:val="17"/>
          <w:szCs w:val="17"/>
        </w:rPr>
        <w:t>, 2101474.</w:t>
      </w:r>
    </w:p>
    <w:p w14:paraId="098EAAF9" w14:textId="77777777" w:rsidR="00147125" w:rsidRPr="00996185" w:rsidRDefault="00147125" w:rsidP="001F05BE">
      <w:pPr>
        <w:pStyle w:val="Literaturverzeichnis"/>
        <w:jc w:val="both"/>
        <w:rPr>
          <w:rFonts w:ascii="Arial" w:hAnsi="Arial" w:cs="Arial"/>
          <w:sz w:val="17"/>
          <w:szCs w:val="17"/>
        </w:rPr>
      </w:pPr>
      <w:r w:rsidRPr="00996185">
        <w:rPr>
          <w:rFonts w:ascii="Arial" w:hAnsi="Arial" w:cs="Arial"/>
          <w:sz w:val="17"/>
          <w:szCs w:val="17"/>
        </w:rPr>
        <w:t>[16]</w:t>
      </w:r>
      <w:r w:rsidRPr="00996185">
        <w:rPr>
          <w:rFonts w:ascii="Arial" w:hAnsi="Arial" w:cs="Arial"/>
          <w:sz w:val="17"/>
          <w:szCs w:val="17"/>
        </w:rPr>
        <w:tab/>
        <w:t xml:space="preserve">S. DiLuzio, V. Mdluli, T. U Connel, J. Lewis, V. VanBenschoten, S. Bernhard, </w:t>
      </w:r>
      <w:r w:rsidRPr="00996185">
        <w:rPr>
          <w:rFonts w:ascii="Arial" w:hAnsi="Arial" w:cs="Arial"/>
          <w:i/>
          <w:iCs/>
          <w:sz w:val="17"/>
          <w:szCs w:val="17"/>
        </w:rPr>
        <w:t>J. Am. Chem. Soc.</w:t>
      </w:r>
      <w:r w:rsidRPr="00996185">
        <w:rPr>
          <w:rFonts w:ascii="Arial" w:hAnsi="Arial" w:cs="Arial"/>
          <w:sz w:val="17"/>
          <w:szCs w:val="17"/>
        </w:rPr>
        <w:t xml:space="preserve"> </w:t>
      </w:r>
      <w:r w:rsidRPr="00996185">
        <w:rPr>
          <w:rFonts w:ascii="Arial" w:hAnsi="Arial" w:cs="Arial"/>
          <w:b/>
          <w:bCs/>
          <w:sz w:val="17"/>
          <w:szCs w:val="17"/>
        </w:rPr>
        <w:t>2021</w:t>
      </w:r>
      <w:r w:rsidRPr="00996185">
        <w:rPr>
          <w:rFonts w:ascii="Arial" w:hAnsi="Arial" w:cs="Arial"/>
          <w:sz w:val="17"/>
          <w:szCs w:val="17"/>
        </w:rPr>
        <w:t xml:space="preserve">, </w:t>
      </w:r>
      <w:r w:rsidRPr="00996185">
        <w:rPr>
          <w:rFonts w:ascii="Arial" w:hAnsi="Arial" w:cs="Arial"/>
          <w:i/>
          <w:iCs/>
          <w:sz w:val="17"/>
          <w:szCs w:val="17"/>
        </w:rPr>
        <w:t>143</w:t>
      </w:r>
      <w:r w:rsidRPr="00996185">
        <w:rPr>
          <w:rFonts w:ascii="Arial" w:hAnsi="Arial" w:cs="Arial"/>
          <w:sz w:val="17"/>
          <w:szCs w:val="17"/>
        </w:rPr>
        <w:t>, 1179–1194.</w:t>
      </w:r>
    </w:p>
    <w:p w14:paraId="4141CDF4" w14:textId="77777777" w:rsidR="00147125" w:rsidRPr="00996185" w:rsidRDefault="00147125" w:rsidP="001F05BE">
      <w:pPr>
        <w:pStyle w:val="Literaturverzeichnis"/>
        <w:jc w:val="both"/>
        <w:rPr>
          <w:rFonts w:ascii="Arial" w:hAnsi="Arial" w:cs="Arial"/>
          <w:sz w:val="17"/>
          <w:szCs w:val="17"/>
        </w:rPr>
      </w:pPr>
      <w:r w:rsidRPr="00996185">
        <w:rPr>
          <w:rFonts w:ascii="Arial" w:hAnsi="Arial" w:cs="Arial"/>
          <w:sz w:val="17"/>
          <w:szCs w:val="17"/>
        </w:rPr>
        <w:t>[17]</w:t>
      </w:r>
      <w:r w:rsidRPr="00996185">
        <w:rPr>
          <w:rFonts w:ascii="Arial" w:hAnsi="Arial" w:cs="Arial"/>
          <w:sz w:val="17"/>
          <w:szCs w:val="17"/>
        </w:rPr>
        <w:tab/>
        <w:t xml:space="preserve">J. Schmidt, M. R. G. Marques, S. Botti, M. A. L. Marques, </w:t>
      </w:r>
      <w:r w:rsidRPr="00996185">
        <w:rPr>
          <w:rFonts w:ascii="Arial" w:hAnsi="Arial" w:cs="Arial"/>
          <w:i/>
          <w:iCs/>
          <w:sz w:val="17"/>
          <w:szCs w:val="17"/>
        </w:rPr>
        <w:t>Npj Comput. Mater.</w:t>
      </w:r>
      <w:r w:rsidRPr="00996185">
        <w:rPr>
          <w:rFonts w:ascii="Arial" w:hAnsi="Arial" w:cs="Arial"/>
          <w:sz w:val="17"/>
          <w:szCs w:val="17"/>
        </w:rPr>
        <w:t xml:space="preserve"> </w:t>
      </w:r>
      <w:r w:rsidRPr="00996185">
        <w:rPr>
          <w:rFonts w:ascii="Arial" w:hAnsi="Arial" w:cs="Arial"/>
          <w:b/>
          <w:bCs/>
          <w:sz w:val="17"/>
          <w:szCs w:val="17"/>
        </w:rPr>
        <w:t>2019</w:t>
      </w:r>
      <w:r w:rsidRPr="00996185">
        <w:rPr>
          <w:rFonts w:ascii="Arial" w:hAnsi="Arial" w:cs="Arial"/>
          <w:sz w:val="17"/>
          <w:szCs w:val="17"/>
        </w:rPr>
        <w:t xml:space="preserve">, </w:t>
      </w:r>
      <w:r w:rsidRPr="00996185">
        <w:rPr>
          <w:rFonts w:ascii="Arial" w:hAnsi="Arial" w:cs="Arial"/>
          <w:i/>
          <w:iCs/>
          <w:sz w:val="17"/>
          <w:szCs w:val="17"/>
        </w:rPr>
        <w:t>5</w:t>
      </w:r>
      <w:r w:rsidRPr="00996185">
        <w:rPr>
          <w:rFonts w:ascii="Arial" w:hAnsi="Arial" w:cs="Arial"/>
          <w:sz w:val="17"/>
          <w:szCs w:val="17"/>
        </w:rPr>
        <w:t>, 83.</w:t>
      </w:r>
    </w:p>
    <w:p w14:paraId="1486D40A"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rPr>
        <w:t>[18]</w:t>
      </w:r>
      <w:r w:rsidRPr="00996185">
        <w:rPr>
          <w:rFonts w:ascii="Arial" w:hAnsi="Arial" w:cs="Arial"/>
          <w:sz w:val="17"/>
          <w:szCs w:val="17"/>
        </w:rPr>
        <w:tab/>
        <w:t xml:space="preserve">Y. Li, K. Liu, A. M. Foley, A. Zulke, M. Berecibar, E. Nanini Maury, Mierlo Joeri Van, H. E. Hoster, </w:t>
      </w:r>
      <w:r w:rsidRPr="00996185">
        <w:rPr>
          <w:rFonts w:ascii="Arial" w:hAnsi="Arial" w:cs="Arial"/>
          <w:i/>
          <w:iCs/>
          <w:sz w:val="17"/>
          <w:szCs w:val="17"/>
        </w:rPr>
        <w:t xml:space="preserve">Renew. </w:t>
      </w:r>
      <w:r w:rsidRPr="00996185">
        <w:rPr>
          <w:rFonts w:ascii="Arial" w:hAnsi="Arial" w:cs="Arial"/>
          <w:i/>
          <w:iCs/>
          <w:sz w:val="17"/>
          <w:szCs w:val="17"/>
          <w:lang w:val="en-US"/>
        </w:rPr>
        <w:t>Sustain. Energy Rev.</w:t>
      </w:r>
      <w:r w:rsidRPr="00996185">
        <w:rPr>
          <w:rFonts w:ascii="Arial" w:hAnsi="Arial" w:cs="Arial"/>
          <w:sz w:val="17"/>
          <w:szCs w:val="17"/>
          <w:lang w:val="en-US"/>
        </w:rPr>
        <w:t xml:space="preserve"> </w:t>
      </w:r>
      <w:r w:rsidRPr="00996185">
        <w:rPr>
          <w:rFonts w:ascii="Arial" w:hAnsi="Arial" w:cs="Arial"/>
          <w:b/>
          <w:bCs/>
          <w:sz w:val="17"/>
          <w:szCs w:val="17"/>
          <w:lang w:val="en-US"/>
        </w:rPr>
        <w:t>2019</w:t>
      </w:r>
      <w:r w:rsidRPr="00996185">
        <w:rPr>
          <w:rFonts w:ascii="Arial" w:hAnsi="Arial" w:cs="Arial"/>
          <w:sz w:val="17"/>
          <w:szCs w:val="17"/>
          <w:lang w:val="en-US"/>
        </w:rPr>
        <w:t xml:space="preserve">, </w:t>
      </w:r>
      <w:r w:rsidRPr="00996185">
        <w:rPr>
          <w:rFonts w:ascii="Arial" w:hAnsi="Arial" w:cs="Arial"/>
          <w:i/>
          <w:iCs/>
          <w:sz w:val="17"/>
          <w:szCs w:val="17"/>
          <w:lang w:val="en-US"/>
        </w:rPr>
        <w:t>113</w:t>
      </w:r>
      <w:r w:rsidRPr="00996185">
        <w:rPr>
          <w:rFonts w:ascii="Arial" w:hAnsi="Arial" w:cs="Arial"/>
          <w:sz w:val="17"/>
          <w:szCs w:val="17"/>
          <w:lang w:val="en-US"/>
        </w:rPr>
        <w:t>, 109254.</w:t>
      </w:r>
    </w:p>
    <w:p w14:paraId="138135FD"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[19]</w:t>
      </w:r>
      <w:r w:rsidRPr="00996185">
        <w:rPr>
          <w:rFonts w:ascii="Arial" w:hAnsi="Arial" w:cs="Arial"/>
          <w:sz w:val="17"/>
          <w:szCs w:val="17"/>
          <w:lang w:val="en-US"/>
        </w:rPr>
        <w:tab/>
        <w:t xml:space="preserve">R. Eslamloueyan, M. H. Khademi, S. Mazinani, </w:t>
      </w:r>
      <w:r w:rsidRPr="00996185">
        <w:rPr>
          <w:rFonts w:ascii="Arial" w:hAnsi="Arial" w:cs="Arial"/>
          <w:i/>
          <w:iCs/>
          <w:sz w:val="17"/>
          <w:szCs w:val="17"/>
          <w:lang w:val="en-US"/>
        </w:rPr>
        <w:t>Ind. Eng. Chem. Res.</w:t>
      </w:r>
      <w:r w:rsidRPr="00996185">
        <w:rPr>
          <w:rFonts w:ascii="Arial" w:hAnsi="Arial" w:cs="Arial"/>
          <w:sz w:val="17"/>
          <w:szCs w:val="17"/>
          <w:lang w:val="en-US"/>
        </w:rPr>
        <w:t xml:space="preserve"> </w:t>
      </w:r>
      <w:r w:rsidRPr="00996185">
        <w:rPr>
          <w:rFonts w:ascii="Arial" w:hAnsi="Arial" w:cs="Arial"/>
          <w:b/>
          <w:bCs/>
          <w:sz w:val="17"/>
          <w:szCs w:val="17"/>
          <w:lang w:val="en-US"/>
        </w:rPr>
        <w:t>2011</w:t>
      </w:r>
      <w:r w:rsidRPr="00996185">
        <w:rPr>
          <w:rFonts w:ascii="Arial" w:hAnsi="Arial" w:cs="Arial"/>
          <w:sz w:val="17"/>
          <w:szCs w:val="17"/>
          <w:lang w:val="en-US"/>
        </w:rPr>
        <w:t xml:space="preserve">, </w:t>
      </w:r>
      <w:r w:rsidRPr="00996185">
        <w:rPr>
          <w:rFonts w:ascii="Arial" w:hAnsi="Arial" w:cs="Arial"/>
          <w:i/>
          <w:iCs/>
          <w:sz w:val="17"/>
          <w:szCs w:val="17"/>
          <w:lang w:val="en-US"/>
        </w:rPr>
        <w:t>50</w:t>
      </w:r>
      <w:r w:rsidRPr="00996185">
        <w:rPr>
          <w:rFonts w:ascii="Arial" w:hAnsi="Arial" w:cs="Arial"/>
          <w:sz w:val="17"/>
          <w:szCs w:val="17"/>
          <w:lang w:val="en-US"/>
        </w:rPr>
        <w:t>, 4050–4056.</w:t>
      </w:r>
    </w:p>
    <w:p w14:paraId="5F00E0C8"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[20]</w:t>
      </w:r>
      <w:r w:rsidRPr="00996185">
        <w:rPr>
          <w:rFonts w:ascii="Arial" w:hAnsi="Arial" w:cs="Arial"/>
          <w:sz w:val="17"/>
          <w:szCs w:val="17"/>
          <w:lang w:val="en-US"/>
        </w:rPr>
        <w:tab/>
        <w:t xml:space="preserve">G. Sivaraman, A. N. Krishnamoorthy, M. Baur, C. Holm, M. Stan, G. Csányi, C. Benmore, Á. Vázquez-Mayagoitia, </w:t>
      </w:r>
      <w:r w:rsidRPr="00996185">
        <w:rPr>
          <w:rFonts w:ascii="Arial" w:hAnsi="Arial" w:cs="Arial"/>
          <w:i/>
          <w:iCs/>
          <w:sz w:val="17"/>
          <w:szCs w:val="17"/>
          <w:lang w:val="en-US"/>
        </w:rPr>
        <w:t>Npj Comput. Mater.</w:t>
      </w:r>
      <w:r w:rsidRPr="00996185">
        <w:rPr>
          <w:rFonts w:ascii="Arial" w:hAnsi="Arial" w:cs="Arial"/>
          <w:sz w:val="17"/>
          <w:szCs w:val="17"/>
          <w:lang w:val="en-US"/>
        </w:rPr>
        <w:t xml:space="preserve"> </w:t>
      </w:r>
      <w:r w:rsidRPr="00996185">
        <w:rPr>
          <w:rFonts w:ascii="Arial" w:hAnsi="Arial" w:cs="Arial"/>
          <w:b/>
          <w:bCs/>
          <w:sz w:val="17"/>
          <w:szCs w:val="17"/>
          <w:lang w:val="en-US"/>
        </w:rPr>
        <w:t>2020</w:t>
      </w:r>
      <w:r w:rsidRPr="00996185">
        <w:rPr>
          <w:rFonts w:ascii="Arial" w:hAnsi="Arial" w:cs="Arial"/>
          <w:sz w:val="17"/>
          <w:szCs w:val="17"/>
          <w:lang w:val="en-US"/>
        </w:rPr>
        <w:t xml:space="preserve">, </w:t>
      </w:r>
      <w:r w:rsidRPr="00996185">
        <w:rPr>
          <w:rFonts w:ascii="Arial" w:hAnsi="Arial" w:cs="Arial"/>
          <w:i/>
          <w:iCs/>
          <w:sz w:val="17"/>
          <w:szCs w:val="17"/>
          <w:lang w:val="en-US"/>
        </w:rPr>
        <w:t>6</w:t>
      </w:r>
      <w:r w:rsidRPr="00996185">
        <w:rPr>
          <w:rFonts w:ascii="Arial" w:hAnsi="Arial" w:cs="Arial"/>
          <w:sz w:val="17"/>
          <w:szCs w:val="17"/>
          <w:lang w:val="en-US"/>
        </w:rPr>
        <w:t>, 1–8.</w:t>
      </w:r>
    </w:p>
    <w:p w14:paraId="3FBC4980"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[21]</w:t>
      </w:r>
      <w:r w:rsidRPr="00996185">
        <w:rPr>
          <w:rFonts w:ascii="Arial" w:hAnsi="Arial" w:cs="Arial"/>
          <w:sz w:val="17"/>
          <w:szCs w:val="17"/>
          <w:lang w:val="en-US"/>
        </w:rPr>
        <w:tab/>
        <w:t xml:space="preserve">G. Sivaraman, L. Gallington, A. N. Krishnamoorthy, M. Stan, G. Csányi, Á. Vázquez-Mayagoitia, C. J. Benmore, </w:t>
      </w:r>
      <w:r w:rsidRPr="00996185">
        <w:rPr>
          <w:rFonts w:ascii="Arial" w:hAnsi="Arial" w:cs="Arial"/>
          <w:i/>
          <w:iCs/>
          <w:sz w:val="17"/>
          <w:szCs w:val="17"/>
          <w:lang w:val="en-US"/>
        </w:rPr>
        <w:t>Phys. Rev. Lett.</w:t>
      </w:r>
      <w:r w:rsidRPr="00996185">
        <w:rPr>
          <w:rFonts w:ascii="Arial" w:hAnsi="Arial" w:cs="Arial"/>
          <w:sz w:val="17"/>
          <w:szCs w:val="17"/>
          <w:lang w:val="en-US"/>
        </w:rPr>
        <w:t xml:space="preserve"> </w:t>
      </w:r>
      <w:r w:rsidRPr="00996185">
        <w:rPr>
          <w:rFonts w:ascii="Arial" w:hAnsi="Arial" w:cs="Arial"/>
          <w:b/>
          <w:bCs/>
          <w:sz w:val="17"/>
          <w:szCs w:val="17"/>
          <w:lang w:val="en-US"/>
        </w:rPr>
        <w:t>2021</w:t>
      </w:r>
      <w:r w:rsidRPr="00996185">
        <w:rPr>
          <w:rFonts w:ascii="Arial" w:hAnsi="Arial" w:cs="Arial"/>
          <w:sz w:val="17"/>
          <w:szCs w:val="17"/>
          <w:lang w:val="en-US"/>
        </w:rPr>
        <w:t xml:space="preserve">, </w:t>
      </w:r>
      <w:r w:rsidRPr="00996185">
        <w:rPr>
          <w:rFonts w:ascii="Arial" w:hAnsi="Arial" w:cs="Arial"/>
          <w:i/>
          <w:iCs/>
          <w:sz w:val="17"/>
          <w:szCs w:val="17"/>
          <w:lang w:val="en-US"/>
        </w:rPr>
        <w:t>126</w:t>
      </w:r>
      <w:r w:rsidRPr="00996185">
        <w:rPr>
          <w:rFonts w:ascii="Arial" w:hAnsi="Arial" w:cs="Arial"/>
          <w:sz w:val="17"/>
          <w:szCs w:val="17"/>
          <w:lang w:val="en-US"/>
        </w:rPr>
        <w:t>, 156002.</w:t>
      </w:r>
    </w:p>
    <w:p w14:paraId="355C7C1B"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[22]</w:t>
      </w:r>
      <w:r w:rsidRPr="00996185">
        <w:rPr>
          <w:rFonts w:ascii="Arial" w:hAnsi="Arial" w:cs="Arial"/>
          <w:sz w:val="17"/>
          <w:szCs w:val="17"/>
          <w:lang w:val="en-US"/>
        </w:rPr>
        <w:tab/>
        <w:t xml:space="preserve">A. Dave, J. Mitchell, K. Kandasamy, H. Wang, S. Burke, B. Paria, B. Póczos, J. Whitacre, V. Viswanathan, </w:t>
      </w:r>
      <w:r w:rsidRPr="00996185">
        <w:rPr>
          <w:rFonts w:ascii="Arial" w:hAnsi="Arial" w:cs="Arial"/>
          <w:i/>
          <w:iCs/>
          <w:sz w:val="17"/>
          <w:szCs w:val="17"/>
          <w:lang w:val="en-US"/>
        </w:rPr>
        <w:t>Cell Rep. Phys. Sci.</w:t>
      </w:r>
      <w:r w:rsidRPr="00996185">
        <w:rPr>
          <w:rFonts w:ascii="Arial" w:hAnsi="Arial" w:cs="Arial"/>
          <w:sz w:val="17"/>
          <w:szCs w:val="17"/>
          <w:lang w:val="en-US"/>
        </w:rPr>
        <w:t xml:space="preserve"> </w:t>
      </w:r>
      <w:r w:rsidRPr="00996185">
        <w:rPr>
          <w:rFonts w:ascii="Arial" w:hAnsi="Arial" w:cs="Arial"/>
          <w:b/>
          <w:bCs/>
          <w:sz w:val="17"/>
          <w:szCs w:val="17"/>
          <w:lang w:val="en-US"/>
        </w:rPr>
        <w:t>2020</w:t>
      </w:r>
      <w:r w:rsidRPr="00996185">
        <w:rPr>
          <w:rFonts w:ascii="Arial" w:hAnsi="Arial" w:cs="Arial"/>
          <w:sz w:val="17"/>
          <w:szCs w:val="17"/>
          <w:lang w:val="en-US"/>
        </w:rPr>
        <w:t xml:space="preserve">, </w:t>
      </w:r>
      <w:r w:rsidRPr="00996185">
        <w:rPr>
          <w:rFonts w:ascii="Arial" w:hAnsi="Arial" w:cs="Arial"/>
          <w:i/>
          <w:iCs/>
          <w:sz w:val="17"/>
          <w:szCs w:val="17"/>
          <w:lang w:val="en-US"/>
        </w:rPr>
        <w:t>1</w:t>
      </w:r>
      <w:r w:rsidRPr="00996185">
        <w:rPr>
          <w:rFonts w:ascii="Arial" w:hAnsi="Arial" w:cs="Arial"/>
          <w:sz w:val="17"/>
          <w:szCs w:val="17"/>
          <w:lang w:val="en-US"/>
        </w:rPr>
        <w:t>, 100264.</w:t>
      </w:r>
    </w:p>
    <w:p w14:paraId="3811F206"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rPr>
        <w:t>[23]</w:t>
      </w:r>
      <w:r w:rsidRPr="00996185">
        <w:rPr>
          <w:rFonts w:ascii="Arial" w:hAnsi="Arial" w:cs="Arial"/>
          <w:sz w:val="17"/>
          <w:szCs w:val="17"/>
        </w:rPr>
        <w:tab/>
        <w:t xml:space="preserve">S. K. Saikin, C. Kreisbeck, D. Sheberla, J. S. Becker, A. Aspuru-Guzik, </w:t>
      </w:r>
      <w:r w:rsidRPr="00996185">
        <w:rPr>
          <w:rFonts w:ascii="Arial" w:hAnsi="Arial" w:cs="Arial"/>
          <w:i/>
          <w:iCs/>
          <w:sz w:val="17"/>
          <w:szCs w:val="17"/>
        </w:rPr>
        <w:t xml:space="preserve">Expert Opin. </w:t>
      </w:r>
      <w:r w:rsidRPr="00996185">
        <w:rPr>
          <w:rFonts w:ascii="Arial" w:hAnsi="Arial" w:cs="Arial"/>
          <w:i/>
          <w:iCs/>
          <w:sz w:val="17"/>
          <w:szCs w:val="17"/>
          <w:lang w:val="en-US"/>
        </w:rPr>
        <w:t>Drug Discov.</w:t>
      </w:r>
      <w:r w:rsidRPr="00996185">
        <w:rPr>
          <w:rFonts w:ascii="Arial" w:hAnsi="Arial" w:cs="Arial"/>
          <w:sz w:val="17"/>
          <w:szCs w:val="17"/>
          <w:lang w:val="en-US"/>
        </w:rPr>
        <w:t xml:space="preserve"> </w:t>
      </w:r>
      <w:r w:rsidRPr="00996185">
        <w:rPr>
          <w:rFonts w:ascii="Arial" w:hAnsi="Arial" w:cs="Arial"/>
          <w:b/>
          <w:bCs/>
          <w:sz w:val="17"/>
          <w:szCs w:val="17"/>
          <w:lang w:val="en-US"/>
        </w:rPr>
        <w:t>2019</w:t>
      </w:r>
      <w:r w:rsidRPr="00996185">
        <w:rPr>
          <w:rFonts w:ascii="Arial" w:hAnsi="Arial" w:cs="Arial"/>
          <w:sz w:val="17"/>
          <w:szCs w:val="17"/>
          <w:lang w:val="en-US"/>
        </w:rPr>
        <w:t xml:space="preserve">, </w:t>
      </w:r>
      <w:r w:rsidRPr="00996185">
        <w:rPr>
          <w:rFonts w:ascii="Arial" w:hAnsi="Arial" w:cs="Arial"/>
          <w:i/>
          <w:iCs/>
          <w:sz w:val="17"/>
          <w:szCs w:val="17"/>
          <w:lang w:val="en-US"/>
        </w:rPr>
        <w:t>14</w:t>
      </w:r>
      <w:r w:rsidRPr="00996185">
        <w:rPr>
          <w:rFonts w:ascii="Arial" w:hAnsi="Arial" w:cs="Arial"/>
          <w:sz w:val="17"/>
          <w:szCs w:val="17"/>
          <w:lang w:val="en-US"/>
        </w:rPr>
        <w:t>, 1–4.</w:t>
      </w:r>
    </w:p>
    <w:p w14:paraId="237E9E55"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[24]</w:t>
      </w:r>
      <w:r w:rsidRPr="00996185">
        <w:rPr>
          <w:rFonts w:ascii="Arial" w:hAnsi="Arial" w:cs="Arial"/>
          <w:sz w:val="17"/>
          <w:szCs w:val="17"/>
          <w:lang w:val="en-US"/>
        </w:rPr>
        <w:tab/>
        <w:t>A. Benayad, D. Diddens, A. Heuer, A. N. Krishnamoorthy, M. Maiti, F. L. Cras, M. Legallais, F. Rahmanian, Y. Shin, H. Stein, M. Winter, C. Wölke, P. Yan, I. Cekic</w:t>
      </w:r>
      <w:r w:rsidRPr="00996185">
        <w:rPr>
          <w:rFonts w:ascii="Cambria Math" w:hAnsi="Cambria Math" w:cs="Cambria Math" w:hint="eastAsia"/>
          <w:sz w:val="17"/>
          <w:szCs w:val="17"/>
          <w:lang w:val="en-US"/>
        </w:rPr>
        <w:t>‐</w:t>
      </w:r>
      <w:r w:rsidRPr="00996185">
        <w:rPr>
          <w:rFonts w:ascii="Arial" w:hAnsi="Arial" w:cs="Arial"/>
          <w:sz w:val="17"/>
          <w:szCs w:val="17"/>
          <w:lang w:val="en-US"/>
        </w:rPr>
        <w:t xml:space="preserve">Laskovic, </w:t>
      </w:r>
      <w:r w:rsidRPr="00996185">
        <w:rPr>
          <w:rFonts w:ascii="Arial" w:hAnsi="Arial" w:cs="Arial"/>
          <w:i/>
          <w:iCs/>
          <w:sz w:val="17"/>
          <w:szCs w:val="17"/>
          <w:lang w:val="en-US"/>
        </w:rPr>
        <w:t>Adv. Energy Mater.</w:t>
      </w:r>
      <w:r w:rsidRPr="00996185">
        <w:rPr>
          <w:rFonts w:ascii="Arial" w:hAnsi="Arial" w:cs="Arial"/>
          <w:sz w:val="17"/>
          <w:szCs w:val="17"/>
          <w:lang w:val="en-US"/>
        </w:rPr>
        <w:t xml:space="preserve"> </w:t>
      </w:r>
      <w:r w:rsidRPr="00996185">
        <w:rPr>
          <w:rFonts w:ascii="Arial" w:hAnsi="Arial" w:cs="Arial"/>
          <w:b/>
          <w:bCs/>
          <w:sz w:val="17"/>
          <w:szCs w:val="17"/>
          <w:lang w:val="en-US"/>
        </w:rPr>
        <w:t>2021</w:t>
      </w:r>
      <w:r w:rsidRPr="00996185">
        <w:rPr>
          <w:rFonts w:ascii="Arial" w:hAnsi="Arial" w:cs="Arial"/>
          <w:sz w:val="17"/>
          <w:szCs w:val="17"/>
          <w:lang w:val="en-US"/>
        </w:rPr>
        <w:t>, 2102678.</w:t>
      </w:r>
    </w:p>
    <w:p w14:paraId="4B8CE7AA"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[25]</w:t>
      </w:r>
      <w:r w:rsidRPr="00996185">
        <w:rPr>
          <w:rFonts w:ascii="Arial" w:hAnsi="Arial" w:cs="Arial"/>
          <w:sz w:val="17"/>
          <w:szCs w:val="17"/>
          <w:lang w:val="en-US"/>
        </w:rPr>
        <w:tab/>
        <w:t xml:space="preserve">T. Lombardo, M. Duquesnoy, H. El-Bouysidy, F. Årén, A. Gallo-Bueno, P. B. Jørgensen, A. Bhowmik, A. Demortière, E. Ayerbe, F. Alcaide, M. Reynaud, J. Carrasco, A. Grimaud, C. Zhang, T. Vegge, P. Johansson, A. A. Franco, </w:t>
      </w:r>
      <w:r w:rsidRPr="00996185">
        <w:rPr>
          <w:rFonts w:ascii="Arial" w:hAnsi="Arial" w:cs="Arial"/>
          <w:i/>
          <w:iCs/>
          <w:sz w:val="17"/>
          <w:szCs w:val="17"/>
          <w:lang w:val="en-US"/>
        </w:rPr>
        <w:t>Chem. Rev.</w:t>
      </w:r>
      <w:r w:rsidRPr="00996185">
        <w:rPr>
          <w:rFonts w:ascii="Arial" w:hAnsi="Arial" w:cs="Arial"/>
          <w:sz w:val="17"/>
          <w:szCs w:val="17"/>
          <w:lang w:val="en-US"/>
        </w:rPr>
        <w:t xml:space="preserve"> </w:t>
      </w:r>
      <w:r w:rsidRPr="00996185">
        <w:rPr>
          <w:rFonts w:ascii="Arial" w:hAnsi="Arial" w:cs="Arial"/>
          <w:b/>
          <w:bCs/>
          <w:sz w:val="17"/>
          <w:szCs w:val="17"/>
          <w:lang w:val="en-US"/>
        </w:rPr>
        <w:t>2021</w:t>
      </w:r>
      <w:r w:rsidRPr="00996185">
        <w:rPr>
          <w:rFonts w:ascii="Arial" w:hAnsi="Arial" w:cs="Arial"/>
          <w:sz w:val="17"/>
          <w:szCs w:val="17"/>
          <w:lang w:val="en-US"/>
        </w:rPr>
        <w:t>, acs.chemrev.1c00108.</w:t>
      </w:r>
    </w:p>
    <w:p w14:paraId="77A034DA"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[26]</w:t>
      </w:r>
      <w:r w:rsidRPr="00996185">
        <w:rPr>
          <w:rFonts w:ascii="Arial" w:hAnsi="Arial" w:cs="Arial"/>
          <w:sz w:val="17"/>
          <w:szCs w:val="17"/>
          <w:lang w:val="en-US"/>
        </w:rPr>
        <w:tab/>
        <w:t xml:space="preserve">A. V. Karatrantos, M. S. Khan, C. Yan, R. Dieden, K. Urita, T. Ohba, Q. Cai, </w:t>
      </w:r>
      <w:r w:rsidRPr="00996185">
        <w:rPr>
          <w:rFonts w:ascii="Arial" w:hAnsi="Arial" w:cs="Arial"/>
          <w:i/>
          <w:iCs/>
          <w:sz w:val="17"/>
          <w:szCs w:val="17"/>
          <w:lang w:val="en-US"/>
        </w:rPr>
        <w:t>J. Energy Power Technol. - LiDSEN</w:t>
      </w:r>
      <w:r w:rsidRPr="00996185">
        <w:rPr>
          <w:rFonts w:ascii="Arial" w:hAnsi="Arial" w:cs="Arial"/>
          <w:sz w:val="17"/>
          <w:szCs w:val="17"/>
          <w:lang w:val="en-US"/>
        </w:rPr>
        <w:t xml:space="preserve"> </w:t>
      </w:r>
      <w:r w:rsidRPr="00996185">
        <w:rPr>
          <w:rFonts w:ascii="Arial" w:hAnsi="Arial" w:cs="Arial"/>
          <w:b/>
          <w:bCs/>
          <w:sz w:val="17"/>
          <w:szCs w:val="17"/>
          <w:lang w:val="en-US"/>
        </w:rPr>
        <w:t>2021</w:t>
      </w:r>
      <w:r w:rsidRPr="00996185">
        <w:rPr>
          <w:rFonts w:ascii="Arial" w:hAnsi="Arial" w:cs="Arial"/>
          <w:sz w:val="17"/>
          <w:szCs w:val="17"/>
          <w:lang w:val="en-US"/>
        </w:rPr>
        <w:t xml:space="preserve">, </w:t>
      </w:r>
      <w:r w:rsidRPr="00996185">
        <w:rPr>
          <w:rFonts w:ascii="Arial" w:hAnsi="Arial" w:cs="Arial"/>
          <w:i/>
          <w:iCs/>
          <w:sz w:val="17"/>
          <w:szCs w:val="17"/>
          <w:lang w:val="en-US"/>
        </w:rPr>
        <w:t>3</w:t>
      </w:r>
      <w:r w:rsidRPr="00996185">
        <w:rPr>
          <w:rFonts w:ascii="Arial" w:hAnsi="Arial" w:cs="Arial"/>
          <w:sz w:val="17"/>
          <w:szCs w:val="17"/>
          <w:lang w:val="en-US"/>
        </w:rPr>
        <w:t>, DOI 10.21926/jept.2103043.</w:t>
      </w:r>
    </w:p>
    <w:p w14:paraId="58189611"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[27]</w:t>
      </w:r>
      <w:r w:rsidRPr="00996185">
        <w:rPr>
          <w:rFonts w:ascii="Arial" w:hAnsi="Arial" w:cs="Arial"/>
          <w:sz w:val="17"/>
          <w:szCs w:val="17"/>
          <w:lang w:val="en-US"/>
        </w:rPr>
        <w:tab/>
        <w:t xml:space="preserve">M. Winter, B. Barnett, K. Xu, </w:t>
      </w:r>
      <w:r w:rsidRPr="00996185">
        <w:rPr>
          <w:rFonts w:ascii="Arial" w:hAnsi="Arial" w:cs="Arial"/>
          <w:i/>
          <w:iCs/>
          <w:sz w:val="17"/>
          <w:szCs w:val="17"/>
          <w:lang w:val="en-US"/>
        </w:rPr>
        <w:t>Chem. Rev.</w:t>
      </w:r>
      <w:r w:rsidRPr="00996185">
        <w:rPr>
          <w:rFonts w:ascii="Arial" w:hAnsi="Arial" w:cs="Arial"/>
          <w:sz w:val="17"/>
          <w:szCs w:val="17"/>
          <w:lang w:val="en-US"/>
        </w:rPr>
        <w:t xml:space="preserve"> </w:t>
      </w:r>
      <w:r w:rsidRPr="00996185">
        <w:rPr>
          <w:rFonts w:ascii="Arial" w:hAnsi="Arial" w:cs="Arial"/>
          <w:b/>
          <w:bCs/>
          <w:sz w:val="17"/>
          <w:szCs w:val="17"/>
          <w:lang w:val="en-US"/>
        </w:rPr>
        <w:t>2018</w:t>
      </w:r>
      <w:r w:rsidRPr="00996185">
        <w:rPr>
          <w:rFonts w:ascii="Arial" w:hAnsi="Arial" w:cs="Arial"/>
          <w:sz w:val="17"/>
          <w:szCs w:val="17"/>
          <w:lang w:val="en-US"/>
        </w:rPr>
        <w:t xml:space="preserve">, </w:t>
      </w:r>
      <w:r w:rsidRPr="00996185">
        <w:rPr>
          <w:rFonts w:ascii="Arial" w:hAnsi="Arial" w:cs="Arial"/>
          <w:i/>
          <w:iCs/>
          <w:sz w:val="17"/>
          <w:szCs w:val="17"/>
          <w:lang w:val="en-US"/>
        </w:rPr>
        <w:t>118</w:t>
      </w:r>
      <w:r w:rsidRPr="00996185">
        <w:rPr>
          <w:rFonts w:ascii="Arial" w:hAnsi="Arial" w:cs="Arial"/>
          <w:sz w:val="17"/>
          <w:szCs w:val="17"/>
          <w:lang w:val="en-US"/>
        </w:rPr>
        <w:t>, 11433–11456.</w:t>
      </w:r>
    </w:p>
    <w:p w14:paraId="4241E237"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[28]</w:t>
      </w:r>
      <w:r w:rsidRPr="00996185">
        <w:rPr>
          <w:rFonts w:ascii="Arial" w:hAnsi="Arial" w:cs="Arial"/>
          <w:sz w:val="17"/>
          <w:szCs w:val="17"/>
          <w:lang w:val="en-US"/>
        </w:rPr>
        <w:tab/>
        <w:t xml:space="preserve">K. Xu, </w:t>
      </w:r>
      <w:r w:rsidRPr="00996185">
        <w:rPr>
          <w:rFonts w:ascii="Arial" w:hAnsi="Arial" w:cs="Arial"/>
          <w:i/>
          <w:iCs/>
          <w:sz w:val="17"/>
          <w:szCs w:val="17"/>
          <w:lang w:val="en-US"/>
        </w:rPr>
        <w:t>Chem. Rev.</w:t>
      </w:r>
      <w:r w:rsidRPr="00996185">
        <w:rPr>
          <w:rFonts w:ascii="Arial" w:hAnsi="Arial" w:cs="Arial"/>
          <w:sz w:val="17"/>
          <w:szCs w:val="17"/>
          <w:lang w:val="en-US"/>
        </w:rPr>
        <w:t xml:space="preserve"> </w:t>
      </w:r>
      <w:r w:rsidRPr="00996185">
        <w:rPr>
          <w:rFonts w:ascii="Arial" w:hAnsi="Arial" w:cs="Arial"/>
          <w:b/>
          <w:bCs/>
          <w:sz w:val="17"/>
          <w:szCs w:val="17"/>
          <w:lang w:val="en-US"/>
        </w:rPr>
        <w:t>2004</w:t>
      </w:r>
      <w:r w:rsidRPr="00996185">
        <w:rPr>
          <w:rFonts w:ascii="Arial" w:hAnsi="Arial" w:cs="Arial"/>
          <w:sz w:val="17"/>
          <w:szCs w:val="17"/>
          <w:lang w:val="en-US"/>
        </w:rPr>
        <w:t xml:space="preserve">, </w:t>
      </w:r>
      <w:r w:rsidRPr="00996185">
        <w:rPr>
          <w:rFonts w:ascii="Arial" w:hAnsi="Arial" w:cs="Arial"/>
          <w:i/>
          <w:iCs/>
          <w:sz w:val="17"/>
          <w:szCs w:val="17"/>
          <w:lang w:val="en-US"/>
        </w:rPr>
        <w:t>104</w:t>
      </w:r>
      <w:r w:rsidRPr="00996185">
        <w:rPr>
          <w:rFonts w:ascii="Arial" w:hAnsi="Arial" w:cs="Arial"/>
          <w:sz w:val="17"/>
          <w:szCs w:val="17"/>
          <w:lang w:val="en-US"/>
        </w:rPr>
        <w:t>, 4303–4418.</w:t>
      </w:r>
    </w:p>
    <w:p w14:paraId="7490423A"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[29]</w:t>
      </w:r>
      <w:r w:rsidRPr="00996185">
        <w:rPr>
          <w:rFonts w:ascii="Arial" w:hAnsi="Arial" w:cs="Arial"/>
          <w:sz w:val="17"/>
          <w:szCs w:val="17"/>
          <w:lang w:val="en-US"/>
        </w:rPr>
        <w:tab/>
        <w:t xml:space="preserve">O. Borodin, G. D. Smith, </w:t>
      </w:r>
      <w:r w:rsidRPr="00996185">
        <w:rPr>
          <w:rFonts w:ascii="Arial" w:hAnsi="Arial" w:cs="Arial"/>
          <w:i/>
          <w:iCs/>
          <w:sz w:val="17"/>
          <w:szCs w:val="17"/>
          <w:lang w:val="en-US"/>
        </w:rPr>
        <w:t>J. Phys. Chem. B</w:t>
      </w:r>
      <w:r w:rsidRPr="00996185">
        <w:rPr>
          <w:rFonts w:ascii="Arial" w:hAnsi="Arial" w:cs="Arial"/>
          <w:sz w:val="17"/>
          <w:szCs w:val="17"/>
          <w:lang w:val="en-US"/>
        </w:rPr>
        <w:t xml:space="preserve"> </w:t>
      </w:r>
      <w:r w:rsidRPr="00996185">
        <w:rPr>
          <w:rFonts w:ascii="Arial" w:hAnsi="Arial" w:cs="Arial"/>
          <w:b/>
          <w:bCs/>
          <w:sz w:val="17"/>
          <w:szCs w:val="17"/>
          <w:lang w:val="en-US"/>
        </w:rPr>
        <w:t>2009</w:t>
      </w:r>
      <w:r w:rsidRPr="00996185">
        <w:rPr>
          <w:rFonts w:ascii="Arial" w:hAnsi="Arial" w:cs="Arial"/>
          <w:sz w:val="17"/>
          <w:szCs w:val="17"/>
          <w:lang w:val="en-US"/>
        </w:rPr>
        <w:t xml:space="preserve">, </w:t>
      </w:r>
      <w:r w:rsidRPr="00996185">
        <w:rPr>
          <w:rFonts w:ascii="Arial" w:hAnsi="Arial" w:cs="Arial"/>
          <w:i/>
          <w:iCs/>
          <w:sz w:val="17"/>
          <w:szCs w:val="17"/>
          <w:lang w:val="en-US"/>
        </w:rPr>
        <w:t>113</w:t>
      </w:r>
      <w:r w:rsidRPr="00996185">
        <w:rPr>
          <w:rFonts w:ascii="Arial" w:hAnsi="Arial" w:cs="Arial"/>
          <w:sz w:val="17"/>
          <w:szCs w:val="17"/>
          <w:lang w:val="en-US"/>
        </w:rPr>
        <w:t>, 1763–1776.</w:t>
      </w:r>
    </w:p>
    <w:p w14:paraId="5D499AA3"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[30]</w:t>
      </w:r>
      <w:r w:rsidRPr="00996185">
        <w:rPr>
          <w:rFonts w:ascii="Arial" w:hAnsi="Arial" w:cs="Arial"/>
          <w:sz w:val="17"/>
          <w:szCs w:val="17"/>
          <w:lang w:val="en-US"/>
        </w:rPr>
        <w:tab/>
        <w:t xml:space="preserve">K. Oldiges, D. Diddens, M. Ebrahiminia, J. B. Hooper, I. Cekic-Laskovic, A. Heuer, D. Bedrov, M. Winter, G. Brunklaus, </w:t>
      </w:r>
      <w:r w:rsidRPr="00996185">
        <w:rPr>
          <w:rFonts w:ascii="Arial" w:hAnsi="Arial" w:cs="Arial"/>
          <w:i/>
          <w:iCs/>
          <w:sz w:val="17"/>
          <w:szCs w:val="17"/>
          <w:lang w:val="en-US"/>
        </w:rPr>
        <w:t>Phys. Chem. Chem. Phys.</w:t>
      </w:r>
      <w:r w:rsidRPr="00996185">
        <w:rPr>
          <w:rFonts w:ascii="Arial" w:hAnsi="Arial" w:cs="Arial"/>
          <w:sz w:val="17"/>
          <w:szCs w:val="17"/>
          <w:lang w:val="en-US"/>
        </w:rPr>
        <w:t xml:space="preserve"> </w:t>
      </w:r>
      <w:r w:rsidRPr="00996185">
        <w:rPr>
          <w:rFonts w:ascii="Arial" w:hAnsi="Arial" w:cs="Arial"/>
          <w:b/>
          <w:bCs/>
          <w:sz w:val="17"/>
          <w:szCs w:val="17"/>
          <w:lang w:val="en-US"/>
        </w:rPr>
        <w:t>2018</w:t>
      </w:r>
      <w:r w:rsidRPr="00996185">
        <w:rPr>
          <w:rFonts w:ascii="Arial" w:hAnsi="Arial" w:cs="Arial"/>
          <w:sz w:val="17"/>
          <w:szCs w:val="17"/>
          <w:lang w:val="en-US"/>
        </w:rPr>
        <w:t xml:space="preserve">, </w:t>
      </w:r>
      <w:r w:rsidRPr="00996185">
        <w:rPr>
          <w:rFonts w:ascii="Arial" w:hAnsi="Arial" w:cs="Arial"/>
          <w:i/>
          <w:iCs/>
          <w:sz w:val="17"/>
          <w:szCs w:val="17"/>
          <w:lang w:val="en-US"/>
        </w:rPr>
        <w:t>20</w:t>
      </w:r>
      <w:r w:rsidRPr="00996185">
        <w:rPr>
          <w:rFonts w:ascii="Arial" w:hAnsi="Arial" w:cs="Arial"/>
          <w:sz w:val="17"/>
          <w:szCs w:val="17"/>
          <w:lang w:val="en-US"/>
        </w:rPr>
        <w:t>, 16579–16591.</w:t>
      </w:r>
    </w:p>
    <w:p w14:paraId="6BBE4AE2"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[31]</w:t>
      </w:r>
      <w:r w:rsidRPr="00996185">
        <w:rPr>
          <w:rFonts w:ascii="Arial" w:hAnsi="Arial" w:cs="Arial"/>
          <w:sz w:val="17"/>
          <w:szCs w:val="17"/>
          <w:lang w:val="en-US"/>
        </w:rPr>
        <w:tab/>
        <w:t xml:space="preserve">O. Borodin, M. Olguin, P. Ganesh, P. Kent R C, J. L. Allen, W. A. Henderson, </w:t>
      </w:r>
      <w:r w:rsidRPr="00996185">
        <w:rPr>
          <w:rFonts w:ascii="Arial" w:hAnsi="Arial" w:cs="Arial"/>
          <w:i/>
          <w:iCs/>
          <w:sz w:val="17"/>
          <w:szCs w:val="17"/>
          <w:lang w:val="en-US"/>
        </w:rPr>
        <w:t>Phys. Chem. Chem. Phys.</w:t>
      </w:r>
      <w:r w:rsidRPr="00996185">
        <w:rPr>
          <w:rFonts w:ascii="Arial" w:hAnsi="Arial" w:cs="Arial"/>
          <w:sz w:val="17"/>
          <w:szCs w:val="17"/>
          <w:lang w:val="en-US"/>
        </w:rPr>
        <w:t xml:space="preserve"> </w:t>
      </w:r>
      <w:r w:rsidRPr="00996185">
        <w:rPr>
          <w:rFonts w:ascii="Arial" w:hAnsi="Arial" w:cs="Arial"/>
          <w:b/>
          <w:bCs/>
          <w:sz w:val="17"/>
          <w:szCs w:val="17"/>
          <w:lang w:val="en-US"/>
        </w:rPr>
        <w:t>2016</w:t>
      </w:r>
      <w:r w:rsidRPr="00996185">
        <w:rPr>
          <w:rFonts w:ascii="Arial" w:hAnsi="Arial" w:cs="Arial"/>
          <w:sz w:val="17"/>
          <w:szCs w:val="17"/>
          <w:lang w:val="en-US"/>
        </w:rPr>
        <w:t xml:space="preserve">, </w:t>
      </w:r>
      <w:r w:rsidRPr="00996185">
        <w:rPr>
          <w:rFonts w:ascii="Arial" w:hAnsi="Arial" w:cs="Arial"/>
          <w:i/>
          <w:iCs/>
          <w:sz w:val="17"/>
          <w:szCs w:val="17"/>
          <w:lang w:val="en-US"/>
        </w:rPr>
        <w:t>18</w:t>
      </w:r>
      <w:r w:rsidRPr="00996185">
        <w:rPr>
          <w:rFonts w:ascii="Arial" w:hAnsi="Arial" w:cs="Arial"/>
          <w:sz w:val="17"/>
          <w:szCs w:val="17"/>
          <w:lang w:val="en-US"/>
        </w:rPr>
        <w:t>, 164–175.</w:t>
      </w:r>
    </w:p>
    <w:p w14:paraId="7E4BC0FA"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[32]</w:t>
      </w:r>
      <w:r w:rsidRPr="00996185">
        <w:rPr>
          <w:rFonts w:ascii="Arial" w:hAnsi="Arial" w:cs="Arial"/>
          <w:sz w:val="17"/>
          <w:szCs w:val="17"/>
          <w:lang w:val="en-US"/>
        </w:rPr>
        <w:tab/>
        <w:t xml:space="preserve">T. M. Ong, O. Verners, E. Draeger W, A. van Duin C T, V. Lordi, J. E. Pask, </w:t>
      </w:r>
      <w:r w:rsidRPr="00996185">
        <w:rPr>
          <w:rFonts w:ascii="Arial" w:hAnsi="Arial" w:cs="Arial"/>
          <w:i/>
          <w:iCs/>
          <w:sz w:val="17"/>
          <w:szCs w:val="17"/>
          <w:lang w:val="en-US"/>
        </w:rPr>
        <w:t>J. Phys. Chem. B</w:t>
      </w:r>
      <w:r w:rsidRPr="00996185">
        <w:rPr>
          <w:rFonts w:ascii="Arial" w:hAnsi="Arial" w:cs="Arial"/>
          <w:sz w:val="17"/>
          <w:szCs w:val="17"/>
          <w:lang w:val="en-US"/>
        </w:rPr>
        <w:t xml:space="preserve"> </w:t>
      </w:r>
      <w:r w:rsidRPr="00996185">
        <w:rPr>
          <w:rFonts w:ascii="Arial" w:hAnsi="Arial" w:cs="Arial"/>
          <w:b/>
          <w:bCs/>
          <w:sz w:val="17"/>
          <w:szCs w:val="17"/>
          <w:lang w:val="en-US"/>
        </w:rPr>
        <w:t>2015</w:t>
      </w:r>
      <w:r w:rsidRPr="00996185">
        <w:rPr>
          <w:rFonts w:ascii="Arial" w:hAnsi="Arial" w:cs="Arial"/>
          <w:sz w:val="17"/>
          <w:szCs w:val="17"/>
          <w:lang w:val="en-US"/>
        </w:rPr>
        <w:t xml:space="preserve">, </w:t>
      </w:r>
      <w:r w:rsidRPr="00996185">
        <w:rPr>
          <w:rFonts w:ascii="Arial" w:hAnsi="Arial" w:cs="Arial"/>
          <w:i/>
          <w:iCs/>
          <w:sz w:val="17"/>
          <w:szCs w:val="17"/>
          <w:lang w:val="en-US"/>
        </w:rPr>
        <w:t>119</w:t>
      </w:r>
      <w:r w:rsidRPr="00996185">
        <w:rPr>
          <w:rFonts w:ascii="Arial" w:hAnsi="Arial" w:cs="Arial"/>
          <w:sz w:val="17"/>
          <w:szCs w:val="17"/>
          <w:lang w:val="en-US"/>
        </w:rPr>
        <w:t>, 1535–1545.</w:t>
      </w:r>
    </w:p>
    <w:p w14:paraId="3B3720D8"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[33]</w:t>
      </w:r>
      <w:r w:rsidRPr="00996185">
        <w:rPr>
          <w:rFonts w:ascii="Arial" w:hAnsi="Arial" w:cs="Arial"/>
          <w:sz w:val="17"/>
          <w:szCs w:val="17"/>
          <w:lang w:val="en-US"/>
        </w:rPr>
        <w:tab/>
        <w:t xml:space="preserve">I. Cekic-Laskovic, N. von Aspern, L. Imholt, S. Kaymaksiz, K. Oldiges, B. R. Rad, M. Winter, </w:t>
      </w:r>
      <w:r w:rsidRPr="00996185">
        <w:rPr>
          <w:rFonts w:ascii="Arial" w:hAnsi="Arial" w:cs="Arial"/>
          <w:i/>
          <w:iCs/>
          <w:sz w:val="17"/>
          <w:szCs w:val="17"/>
          <w:lang w:val="en-US"/>
        </w:rPr>
        <w:t>Top. Curr. Chem.</w:t>
      </w:r>
      <w:r w:rsidRPr="00996185">
        <w:rPr>
          <w:rFonts w:ascii="Arial" w:hAnsi="Arial" w:cs="Arial"/>
          <w:sz w:val="17"/>
          <w:szCs w:val="17"/>
          <w:lang w:val="en-US"/>
        </w:rPr>
        <w:t xml:space="preserve"> </w:t>
      </w:r>
      <w:r w:rsidRPr="00996185">
        <w:rPr>
          <w:rFonts w:ascii="Arial" w:hAnsi="Arial" w:cs="Arial"/>
          <w:b/>
          <w:bCs/>
          <w:sz w:val="17"/>
          <w:szCs w:val="17"/>
          <w:lang w:val="en-US"/>
        </w:rPr>
        <w:t>2017</w:t>
      </w:r>
      <w:r w:rsidRPr="00996185">
        <w:rPr>
          <w:rFonts w:ascii="Arial" w:hAnsi="Arial" w:cs="Arial"/>
          <w:sz w:val="17"/>
          <w:szCs w:val="17"/>
          <w:lang w:val="en-US"/>
        </w:rPr>
        <w:t xml:space="preserve">, </w:t>
      </w:r>
      <w:r w:rsidRPr="00996185">
        <w:rPr>
          <w:rFonts w:ascii="Arial" w:hAnsi="Arial" w:cs="Arial"/>
          <w:i/>
          <w:iCs/>
          <w:sz w:val="17"/>
          <w:szCs w:val="17"/>
          <w:lang w:val="en-US"/>
        </w:rPr>
        <w:t>375</w:t>
      </w:r>
      <w:r w:rsidRPr="00996185">
        <w:rPr>
          <w:rFonts w:ascii="Arial" w:hAnsi="Arial" w:cs="Arial"/>
          <w:sz w:val="17"/>
          <w:szCs w:val="17"/>
          <w:lang w:val="en-US"/>
        </w:rPr>
        <w:t>, 37.</w:t>
      </w:r>
    </w:p>
    <w:p w14:paraId="4CF3D935"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[34]</w:t>
      </w:r>
      <w:r w:rsidRPr="00996185">
        <w:rPr>
          <w:rFonts w:ascii="Arial" w:hAnsi="Arial" w:cs="Arial"/>
          <w:sz w:val="17"/>
          <w:szCs w:val="17"/>
          <w:lang w:val="en-US"/>
        </w:rPr>
        <w:tab/>
        <w:t xml:space="preserve">Hans-Dieter Wiemhöfer, Mariano Grünebaum, Martin Manuel Hiller, </w:t>
      </w:r>
      <w:r w:rsidRPr="00996185">
        <w:rPr>
          <w:rFonts w:ascii="Arial" w:hAnsi="Arial" w:cs="Arial"/>
          <w:i/>
          <w:iCs/>
          <w:sz w:val="17"/>
          <w:szCs w:val="17"/>
          <w:lang w:val="en-US"/>
        </w:rPr>
        <w:t>MICRO ELECTRODE LIQUID MEASUREMENT CELL</w:t>
      </w:r>
      <w:r w:rsidRPr="00996185">
        <w:rPr>
          <w:rFonts w:ascii="Arial" w:hAnsi="Arial" w:cs="Arial"/>
          <w:sz w:val="17"/>
          <w:szCs w:val="17"/>
          <w:lang w:val="en-US"/>
        </w:rPr>
        <w:t xml:space="preserve">, </w:t>
      </w:r>
      <w:r w:rsidRPr="00996185">
        <w:rPr>
          <w:rFonts w:ascii="Arial" w:hAnsi="Arial" w:cs="Arial"/>
          <w:b/>
          <w:bCs/>
          <w:sz w:val="17"/>
          <w:szCs w:val="17"/>
          <w:lang w:val="en-US"/>
        </w:rPr>
        <w:t>2014</w:t>
      </w:r>
      <w:r w:rsidRPr="00996185">
        <w:rPr>
          <w:rFonts w:ascii="Arial" w:hAnsi="Arial" w:cs="Arial"/>
          <w:sz w:val="17"/>
          <w:szCs w:val="17"/>
          <w:lang w:val="en-US"/>
        </w:rPr>
        <w:t>, WO 2014/139494 A1.</w:t>
      </w:r>
    </w:p>
    <w:p w14:paraId="41E09ED2"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[35]</w:t>
      </w:r>
      <w:r w:rsidRPr="00996185">
        <w:rPr>
          <w:rFonts w:ascii="Arial" w:hAnsi="Arial" w:cs="Arial"/>
          <w:sz w:val="17"/>
          <w:szCs w:val="17"/>
          <w:lang w:val="en-US"/>
        </w:rPr>
        <w:tab/>
        <w:t xml:space="preserve">P. Y. Zavalij, S. Yang, M. S. Wittingham, </w:t>
      </w:r>
      <w:r w:rsidRPr="00996185">
        <w:rPr>
          <w:rFonts w:ascii="Arial" w:hAnsi="Arial" w:cs="Arial"/>
          <w:b/>
          <w:bCs/>
          <w:sz w:val="17"/>
          <w:szCs w:val="17"/>
          <w:lang w:val="en-US"/>
        </w:rPr>
        <w:t>2005</w:t>
      </w:r>
      <w:r w:rsidRPr="00996185">
        <w:rPr>
          <w:rFonts w:ascii="Arial" w:hAnsi="Arial" w:cs="Arial"/>
          <w:sz w:val="17"/>
          <w:szCs w:val="17"/>
          <w:lang w:val="en-US"/>
        </w:rPr>
        <w:t>, DOI 10.5517/cc86mdg.</w:t>
      </w:r>
    </w:p>
    <w:p w14:paraId="6139AC96"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[36]</w:t>
      </w:r>
      <w:r w:rsidRPr="00996185">
        <w:rPr>
          <w:rFonts w:ascii="Arial" w:hAnsi="Arial" w:cs="Arial"/>
          <w:sz w:val="17"/>
          <w:szCs w:val="17"/>
          <w:lang w:val="en-US"/>
        </w:rPr>
        <w:tab/>
        <w:t xml:space="preserve">M. S. Ding, K. Xu, S. Zhang, K. Amine, G. L. Henriksen, R. Jow, </w:t>
      </w:r>
      <w:r w:rsidRPr="00996185">
        <w:rPr>
          <w:rFonts w:ascii="Arial" w:hAnsi="Arial" w:cs="Arial"/>
          <w:i/>
          <w:iCs/>
          <w:sz w:val="17"/>
          <w:szCs w:val="17"/>
          <w:lang w:val="en-US"/>
        </w:rPr>
        <w:t>J. Electrochem. Soc.</w:t>
      </w:r>
      <w:r w:rsidRPr="00996185">
        <w:rPr>
          <w:rFonts w:ascii="Arial" w:hAnsi="Arial" w:cs="Arial"/>
          <w:sz w:val="17"/>
          <w:szCs w:val="17"/>
          <w:lang w:val="en-US"/>
        </w:rPr>
        <w:t xml:space="preserve"> </w:t>
      </w:r>
      <w:r w:rsidRPr="00996185">
        <w:rPr>
          <w:rFonts w:ascii="Arial" w:hAnsi="Arial" w:cs="Arial"/>
          <w:b/>
          <w:bCs/>
          <w:sz w:val="17"/>
          <w:szCs w:val="17"/>
          <w:lang w:val="en-US"/>
        </w:rPr>
        <w:t>2001</w:t>
      </w:r>
      <w:r w:rsidRPr="00996185">
        <w:rPr>
          <w:rFonts w:ascii="Arial" w:hAnsi="Arial" w:cs="Arial"/>
          <w:sz w:val="17"/>
          <w:szCs w:val="17"/>
          <w:lang w:val="en-US"/>
        </w:rPr>
        <w:t xml:space="preserve">, </w:t>
      </w:r>
      <w:r w:rsidRPr="00996185">
        <w:rPr>
          <w:rFonts w:ascii="Arial" w:hAnsi="Arial" w:cs="Arial"/>
          <w:i/>
          <w:iCs/>
          <w:sz w:val="17"/>
          <w:szCs w:val="17"/>
          <w:lang w:val="en-US"/>
        </w:rPr>
        <w:t>148</w:t>
      </w:r>
      <w:r w:rsidRPr="00996185">
        <w:rPr>
          <w:rFonts w:ascii="Arial" w:hAnsi="Arial" w:cs="Arial"/>
          <w:sz w:val="17"/>
          <w:szCs w:val="17"/>
          <w:lang w:val="en-US"/>
        </w:rPr>
        <w:t>, A1196-1204.</w:t>
      </w:r>
    </w:p>
    <w:p w14:paraId="7C9EEF93"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[37]</w:t>
      </w:r>
      <w:r w:rsidRPr="00996185">
        <w:rPr>
          <w:rFonts w:ascii="Arial" w:hAnsi="Arial" w:cs="Arial"/>
          <w:sz w:val="17"/>
          <w:szCs w:val="17"/>
          <w:lang w:val="en-US"/>
        </w:rPr>
        <w:tab/>
        <w:t xml:space="preserve">J. Landesfeind, H. A. Gasteiger, </w:t>
      </w:r>
      <w:r w:rsidRPr="00996185">
        <w:rPr>
          <w:rFonts w:ascii="Arial" w:hAnsi="Arial" w:cs="Arial"/>
          <w:i/>
          <w:iCs/>
          <w:sz w:val="17"/>
          <w:szCs w:val="17"/>
          <w:lang w:val="en-US"/>
        </w:rPr>
        <w:t>J. Electrochem. Soc.</w:t>
      </w:r>
      <w:r w:rsidRPr="00996185">
        <w:rPr>
          <w:rFonts w:ascii="Arial" w:hAnsi="Arial" w:cs="Arial"/>
          <w:sz w:val="17"/>
          <w:szCs w:val="17"/>
          <w:lang w:val="en-US"/>
        </w:rPr>
        <w:t xml:space="preserve"> </w:t>
      </w:r>
      <w:r w:rsidRPr="00996185">
        <w:rPr>
          <w:rFonts w:ascii="Arial" w:hAnsi="Arial" w:cs="Arial"/>
          <w:b/>
          <w:bCs/>
          <w:sz w:val="17"/>
          <w:szCs w:val="17"/>
          <w:lang w:val="en-US"/>
        </w:rPr>
        <w:t>2019</w:t>
      </w:r>
      <w:r w:rsidRPr="00996185">
        <w:rPr>
          <w:rFonts w:ascii="Arial" w:hAnsi="Arial" w:cs="Arial"/>
          <w:sz w:val="17"/>
          <w:szCs w:val="17"/>
          <w:lang w:val="en-US"/>
        </w:rPr>
        <w:t xml:space="preserve">, </w:t>
      </w:r>
      <w:r w:rsidRPr="00996185">
        <w:rPr>
          <w:rFonts w:ascii="Arial" w:hAnsi="Arial" w:cs="Arial"/>
          <w:i/>
          <w:iCs/>
          <w:sz w:val="17"/>
          <w:szCs w:val="17"/>
          <w:lang w:val="en-US"/>
        </w:rPr>
        <w:t>166</w:t>
      </w:r>
      <w:r w:rsidRPr="00996185">
        <w:rPr>
          <w:rFonts w:ascii="Arial" w:hAnsi="Arial" w:cs="Arial"/>
          <w:sz w:val="17"/>
          <w:szCs w:val="17"/>
          <w:lang w:val="en-US"/>
        </w:rPr>
        <w:t>, A3079–A3097.</w:t>
      </w:r>
    </w:p>
    <w:p w14:paraId="7859C89E"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[38]</w:t>
      </w:r>
      <w:r w:rsidRPr="00996185">
        <w:rPr>
          <w:rFonts w:ascii="Arial" w:hAnsi="Arial" w:cs="Arial"/>
          <w:sz w:val="17"/>
          <w:szCs w:val="17"/>
          <w:lang w:val="en-US"/>
        </w:rPr>
        <w:tab/>
        <w:t xml:space="preserve">C. E. Rasmussen, C. K. I. Williams, </w:t>
      </w:r>
      <w:r w:rsidRPr="00996185">
        <w:rPr>
          <w:rFonts w:ascii="Arial" w:hAnsi="Arial" w:cs="Arial"/>
          <w:i/>
          <w:iCs/>
          <w:sz w:val="17"/>
          <w:szCs w:val="17"/>
          <w:lang w:val="en-US"/>
        </w:rPr>
        <w:t>Gaussian Processes for Machine Learning</w:t>
      </w:r>
      <w:r w:rsidRPr="00996185">
        <w:rPr>
          <w:rFonts w:ascii="Arial" w:hAnsi="Arial" w:cs="Arial"/>
          <w:sz w:val="17"/>
          <w:szCs w:val="17"/>
          <w:lang w:val="en-US"/>
        </w:rPr>
        <w:t xml:space="preserve">, MIT Press, Cambridge, Mass, </w:t>
      </w:r>
      <w:r w:rsidRPr="00996185">
        <w:rPr>
          <w:rFonts w:ascii="Arial" w:hAnsi="Arial" w:cs="Arial"/>
          <w:b/>
          <w:bCs/>
          <w:sz w:val="17"/>
          <w:szCs w:val="17"/>
          <w:lang w:val="en-US"/>
        </w:rPr>
        <w:t>2006</w:t>
      </w:r>
      <w:r w:rsidRPr="00996185">
        <w:rPr>
          <w:rFonts w:ascii="Arial" w:hAnsi="Arial" w:cs="Arial"/>
          <w:sz w:val="17"/>
          <w:szCs w:val="17"/>
          <w:lang w:val="en-US"/>
        </w:rPr>
        <w:t>.</w:t>
      </w:r>
    </w:p>
    <w:p w14:paraId="27725D18"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[39]</w:t>
      </w:r>
      <w:r w:rsidRPr="00996185">
        <w:rPr>
          <w:rFonts w:ascii="Arial" w:hAnsi="Arial" w:cs="Arial"/>
          <w:sz w:val="17"/>
          <w:szCs w:val="17"/>
          <w:lang w:val="en-US"/>
        </w:rPr>
        <w:tab/>
        <w:t xml:space="preserve">D. K. Duvenaud, Automatic Model Construction with Gaussian Processes, University of Cambridge, </w:t>
      </w:r>
      <w:r w:rsidRPr="00996185">
        <w:rPr>
          <w:rFonts w:ascii="Arial" w:hAnsi="Arial" w:cs="Arial"/>
          <w:b/>
          <w:bCs/>
          <w:sz w:val="17"/>
          <w:szCs w:val="17"/>
          <w:lang w:val="en-US"/>
        </w:rPr>
        <w:t>2014</w:t>
      </w:r>
      <w:r w:rsidRPr="00996185">
        <w:rPr>
          <w:rFonts w:ascii="Arial" w:hAnsi="Arial" w:cs="Arial"/>
          <w:sz w:val="17"/>
          <w:szCs w:val="17"/>
          <w:lang w:val="en-US"/>
        </w:rPr>
        <w:t>.</w:t>
      </w:r>
    </w:p>
    <w:p w14:paraId="696A39C2"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[40]</w:t>
      </w:r>
      <w:r w:rsidRPr="00996185">
        <w:rPr>
          <w:rFonts w:ascii="Arial" w:hAnsi="Arial" w:cs="Arial"/>
          <w:sz w:val="17"/>
          <w:szCs w:val="17"/>
          <w:lang w:val="en-US"/>
        </w:rPr>
        <w:tab/>
        <w:t xml:space="preserve">I. Fomenko, M. Durst, D. Balaban, </w:t>
      </w:r>
      <w:r w:rsidRPr="00996185">
        <w:rPr>
          <w:rFonts w:ascii="Arial" w:hAnsi="Arial" w:cs="Arial"/>
          <w:i/>
          <w:iCs/>
          <w:sz w:val="17"/>
          <w:szCs w:val="17"/>
          <w:lang w:val="en-US"/>
        </w:rPr>
        <w:t>Comput. Methods Programs Biomed.</w:t>
      </w:r>
      <w:r w:rsidRPr="00996185">
        <w:rPr>
          <w:rFonts w:ascii="Arial" w:hAnsi="Arial" w:cs="Arial"/>
          <w:sz w:val="17"/>
          <w:szCs w:val="17"/>
          <w:lang w:val="en-US"/>
        </w:rPr>
        <w:t xml:space="preserve"> </w:t>
      </w:r>
      <w:r w:rsidRPr="00996185">
        <w:rPr>
          <w:rFonts w:ascii="Arial" w:hAnsi="Arial" w:cs="Arial"/>
          <w:b/>
          <w:bCs/>
          <w:sz w:val="17"/>
          <w:szCs w:val="17"/>
          <w:lang w:val="en-US"/>
        </w:rPr>
        <w:t>2006</w:t>
      </w:r>
      <w:r w:rsidRPr="00996185">
        <w:rPr>
          <w:rFonts w:ascii="Arial" w:hAnsi="Arial" w:cs="Arial"/>
          <w:sz w:val="17"/>
          <w:szCs w:val="17"/>
          <w:lang w:val="en-US"/>
        </w:rPr>
        <w:t xml:space="preserve">, </w:t>
      </w:r>
      <w:r w:rsidRPr="00996185">
        <w:rPr>
          <w:rFonts w:ascii="Arial" w:hAnsi="Arial" w:cs="Arial"/>
          <w:i/>
          <w:iCs/>
          <w:sz w:val="17"/>
          <w:szCs w:val="17"/>
          <w:lang w:val="en-US"/>
        </w:rPr>
        <w:t>82</w:t>
      </w:r>
      <w:r w:rsidRPr="00996185">
        <w:rPr>
          <w:rFonts w:ascii="Arial" w:hAnsi="Arial" w:cs="Arial"/>
          <w:sz w:val="17"/>
          <w:szCs w:val="17"/>
          <w:lang w:val="en-US"/>
        </w:rPr>
        <w:t>, 31–37.</w:t>
      </w:r>
    </w:p>
    <w:p w14:paraId="2B36B1BA"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[41]</w:t>
      </w:r>
      <w:r w:rsidRPr="00996185">
        <w:rPr>
          <w:rFonts w:ascii="Arial" w:hAnsi="Arial" w:cs="Arial"/>
          <w:sz w:val="17"/>
          <w:szCs w:val="17"/>
          <w:lang w:val="en-US"/>
        </w:rPr>
        <w:tab/>
        <w:t xml:space="preserve">D. Eck, </w:t>
      </w:r>
      <w:r w:rsidRPr="00996185">
        <w:rPr>
          <w:rFonts w:ascii="Arial" w:hAnsi="Arial" w:cs="Arial"/>
          <w:i/>
          <w:iCs/>
          <w:sz w:val="17"/>
          <w:szCs w:val="17"/>
          <w:lang w:val="en-US"/>
        </w:rPr>
        <w:t>Stat. Probab. Lett.</w:t>
      </w:r>
      <w:r w:rsidRPr="00996185">
        <w:rPr>
          <w:rFonts w:ascii="Arial" w:hAnsi="Arial" w:cs="Arial"/>
          <w:sz w:val="17"/>
          <w:szCs w:val="17"/>
          <w:lang w:val="en-US"/>
        </w:rPr>
        <w:t xml:space="preserve"> </w:t>
      </w:r>
      <w:r w:rsidRPr="00996185">
        <w:rPr>
          <w:rFonts w:ascii="Arial" w:hAnsi="Arial" w:cs="Arial"/>
          <w:b/>
          <w:bCs/>
          <w:sz w:val="17"/>
          <w:szCs w:val="17"/>
          <w:lang w:val="en-US"/>
        </w:rPr>
        <w:t>2017</w:t>
      </w:r>
      <w:r w:rsidRPr="00996185">
        <w:rPr>
          <w:rFonts w:ascii="Arial" w:hAnsi="Arial" w:cs="Arial"/>
          <w:sz w:val="17"/>
          <w:szCs w:val="17"/>
          <w:lang w:val="en-US"/>
        </w:rPr>
        <w:t xml:space="preserve">, </w:t>
      </w:r>
      <w:r w:rsidRPr="00996185">
        <w:rPr>
          <w:rFonts w:ascii="Arial" w:hAnsi="Arial" w:cs="Arial"/>
          <w:i/>
          <w:iCs/>
          <w:sz w:val="17"/>
          <w:szCs w:val="17"/>
          <w:lang w:val="en-US"/>
        </w:rPr>
        <w:t>134</w:t>
      </w:r>
      <w:r w:rsidRPr="00996185">
        <w:rPr>
          <w:rFonts w:ascii="Arial" w:hAnsi="Arial" w:cs="Arial"/>
          <w:sz w:val="17"/>
          <w:szCs w:val="17"/>
          <w:lang w:val="en-US"/>
        </w:rPr>
        <w:t>, DOI 10.1016/j.spl.2017.11.001.</w:t>
      </w:r>
    </w:p>
    <w:p w14:paraId="6C4CF5C6"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[42]</w:t>
      </w:r>
      <w:r w:rsidRPr="00996185">
        <w:rPr>
          <w:rFonts w:ascii="Arial" w:hAnsi="Arial" w:cs="Arial"/>
          <w:sz w:val="17"/>
          <w:szCs w:val="17"/>
          <w:lang w:val="en-US"/>
        </w:rPr>
        <w:tab/>
        <w:t xml:space="preserve">J. Fox, “Bootstrapping Regression Models,” can be found under https://artowen.su.domains/courses/305-1314/FoxOnBootingRegInR.pdf, </w:t>
      </w:r>
      <w:r w:rsidRPr="00996185">
        <w:rPr>
          <w:rFonts w:ascii="Arial" w:hAnsi="Arial" w:cs="Arial"/>
          <w:b/>
          <w:bCs/>
          <w:sz w:val="17"/>
          <w:szCs w:val="17"/>
          <w:lang w:val="en-US"/>
        </w:rPr>
        <w:t>2002</w:t>
      </w:r>
      <w:r w:rsidRPr="00996185">
        <w:rPr>
          <w:rFonts w:ascii="Arial" w:hAnsi="Arial" w:cs="Arial"/>
          <w:sz w:val="17"/>
          <w:szCs w:val="17"/>
          <w:lang w:val="en-US"/>
        </w:rPr>
        <w:t>.</w:t>
      </w:r>
    </w:p>
    <w:p w14:paraId="5F7D9886" w14:textId="77777777" w:rsidR="00147125" w:rsidRPr="00996185" w:rsidRDefault="00147125" w:rsidP="001F05BE">
      <w:pPr>
        <w:pStyle w:val="Literaturverzeichnis"/>
        <w:jc w:val="both"/>
        <w:rPr>
          <w:rFonts w:ascii="Arial" w:hAnsi="Arial" w:cs="Arial"/>
          <w:sz w:val="17"/>
          <w:szCs w:val="17"/>
        </w:rPr>
      </w:pPr>
      <w:r w:rsidRPr="00996185">
        <w:rPr>
          <w:rFonts w:ascii="Arial" w:hAnsi="Arial" w:cs="Arial"/>
          <w:sz w:val="17"/>
          <w:szCs w:val="17"/>
        </w:rPr>
        <w:t>[43]</w:t>
      </w:r>
      <w:r w:rsidRPr="00996185">
        <w:rPr>
          <w:rFonts w:ascii="Arial" w:hAnsi="Arial" w:cs="Arial"/>
          <w:sz w:val="17"/>
          <w:szCs w:val="17"/>
        </w:rPr>
        <w:tab/>
        <w:t xml:space="preserve">E. R. Logan, E. M. Tonita, K. L. Gering, J. Li, X. Ma, L. Y. Beaulieu, J. R. Dahn, </w:t>
      </w:r>
      <w:r w:rsidRPr="00996185">
        <w:rPr>
          <w:rFonts w:ascii="Arial" w:hAnsi="Arial" w:cs="Arial"/>
          <w:i/>
          <w:iCs/>
          <w:sz w:val="17"/>
          <w:szCs w:val="17"/>
        </w:rPr>
        <w:t>J. Electrochem. Soc.</w:t>
      </w:r>
      <w:r w:rsidRPr="00996185">
        <w:rPr>
          <w:rFonts w:ascii="Arial" w:hAnsi="Arial" w:cs="Arial"/>
          <w:sz w:val="17"/>
          <w:szCs w:val="17"/>
        </w:rPr>
        <w:t xml:space="preserve"> </w:t>
      </w:r>
      <w:r w:rsidRPr="00996185">
        <w:rPr>
          <w:rFonts w:ascii="Arial" w:hAnsi="Arial" w:cs="Arial"/>
          <w:b/>
          <w:bCs/>
          <w:sz w:val="17"/>
          <w:szCs w:val="17"/>
        </w:rPr>
        <w:t>2018</w:t>
      </w:r>
      <w:r w:rsidRPr="00996185">
        <w:rPr>
          <w:rFonts w:ascii="Arial" w:hAnsi="Arial" w:cs="Arial"/>
          <w:sz w:val="17"/>
          <w:szCs w:val="17"/>
        </w:rPr>
        <w:t xml:space="preserve">, </w:t>
      </w:r>
      <w:r w:rsidRPr="00996185">
        <w:rPr>
          <w:rFonts w:ascii="Arial" w:hAnsi="Arial" w:cs="Arial"/>
          <w:i/>
          <w:iCs/>
          <w:sz w:val="17"/>
          <w:szCs w:val="17"/>
        </w:rPr>
        <w:t>165</w:t>
      </w:r>
      <w:r w:rsidRPr="00996185">
        <w:rPr>
          <w:rFonts w:ascii="Arial" w:hAnsi="Arial" w:cs="Arial"/>
          <w:sz w:val="17"/>
          <w:szCs w:val="17"/>
        </w:rPr>
        <w:t>, A21–A30.</w:t>
      </w:r>
    </w:p>
    <w:p w14:paraId="70514696"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rPr>
        <w:t>[44]</w:t>
      </w:r>
      <w:r w:rsidRPr="00996185">
        <w:rPr>
          <w:rFonts w:ascii="Arial" w:hAnsi="Arial" w:cs="Arial"/>
          <w:sz w:val="17"/>
          <w:szCs w:val="17"/>
        </w:rPr>
        <w:tab/>
        <w:t xml:space="preserve">S. Solchenbach, M. Metzger, M. Egawa, H. Beyer, H. A. Gasteiger, </w:t>
      </w:r>
      <w:r w:rsidRPr="00996185">
        <w:rPr>
          <w:rFonts w:ascii="Arial" w:hAnsi="Arial" w:cs="Arial"/>
          <w:i/>
          <w:iCs/>
          <w:sz w:val="17"/>
          <w:szCs w:val="17"/>
        </w:rPr>
        <w:t xml:space="preserve">J. Electrochem. </w:t>
      </w:r>
      <w:r w:rsidRPr="00996185">
        <w:rPr>
          <w:rFonts w:ascii="Arial" w:hAnsi="Arial" w:cs="Arial"/>
          <w:i/>
          <w:iCs/>
          <w:sz w:val="17"/>
          <w:szCs w:val="17"/>
          <w:lang w:val="en-US"/>
        </w:rPr>
        <w:t>Soc.</w:t>
      </w:r>
      <w:r w:rsidRPr="00996185">
        <w:rPr>
          <w:rFonts w:ascii="Arial" w:hAnsi="Arial" w:cs="Arial"/>
          <w:sz w:val="17"/>
          <w:szCs w:val="17"/>
          <w:lang w:val="en-US"/>
        </w:rPr>
        <w:t xml:space="preserve"> </w:t>
      </w:r>
      <w:r w:rsidRPr="00996185">
        <w:rPr>
          <w:rFonts w:ascii="Arial" w:hAnsi="Arial" w:cs="Arial"/>
          <w:b/>
          <w:bCs/>
          <w:sz w:val="17"/>
          <w:szCs w:val="17"/>
          <w:lang w:val="en-US"/>
        </w:rPr>
        <w:t>2018</w:t>
      </w:r>
      <w:r w:rsidRPr="00996185">
        <w:rPr>
          <w:rFonts w:ascii="Arial" w:hAnsi="Arial" w:cs="Arial"/>
          <w:sz w:val="17"/>
          <w:szCs w:val="17"/>
          <w:lang w:val="en-US"/>
        </w:rPr>
        <w:t xml:space="preserve">, </w:t>
      </w:r>
      <w:r w:rsidRPr="00996185">
        <w:rPr>
          <w:rFonts w:ascii="Arial" w:hAnsi="Arial" w:cs="Arial"/>
          <w:i/>
          <w:iCs/>
          <w:sz w:val="17"/>
          <w:szCs w:val="17"/>
          <w:lang w:val="en-US"/>
        </w:rPr>
        <w:t>165</w:t>
      </w:r>
      <w:r w:rsidRPr="00996185">
        <w:rPr>
          <w:rFonts w:ascii="Arial" w:hAnsi="Arial" w:cs="Arial"/>
          <w:sz w:val="17"/>
          <w:szCs w:val="17"/>
          <w:lang w:val="en-US"/>
        </w:rPr>
        <w:t>, A3022–A3028.</w:t>
      </w:r>
    </w:p>
    <w:p w14:paraId="790DD6A2"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[45]</w:t>
      </w:r>
      <w:r w:rsidRPr="00996185">
        <w:rPr>
          <w:rFonts w:ascii="Arial" w:hAnsi="Arial" w:cs="Arial"/>
          <w:sz w:val="17"/>
          <w:szCs w:val="17"/>
          <w:lang w:val="en-US"/>
        </w:rPr>
        <w:tab/>
        <w:t xml:space="preserve">H. P. Chen, J. W. Fergus, B. Z. Jang, </w:t>
      </w:r>
      <w:r w:rsidRPr="00996185">
        <w:rPr>
          <w:rFonts w:ascii="Arial" w:hAnsi="Arial" w:cs="Arial"/>
          <w:i/>
          <w:iCs/>
          <w:sz w:val="17"/>
          <w:szCs w:val="17"/>
          <w:lang w:val="en-US"/>
        </w:rPr>
        <w:t>J. Electrochem. Soc.</w:t>
      </w:r>
      <w:r w:rsidRPr="00996185">
        <w:rPr>
          <w:rFonts w:ascii="Arial" w:hAnsi="Arial" w:cs="Arial"/>
          <w:sz w:val="17"/>
          <w:szCs w:val="17"/>
          <w:lang w:val="en-US"/>
        </w:rPr>
        <w:t xml:space="preserve"> </w:t>
      </w:r>
      <w:r w:rsidRPr="00996185">
        <w:rPr>
          <w:rFonts w:ascii="Arial" w:hAnsi="Arial" w:cs="Arial"/>
          <w:b/>
          <w:bCs/>
          <w:sz w:val="17"/>
          <w:szCs w:val="17"/>
          <w:lang w:val="en-US"/>
        </w:rPr>
        <w:t>2000</w:t>
      </w:r>
      <w:r w:rsidRPr="00996185">
        <w:rPr>
          <w:rFonts w:ascii="Arial" w:hAnsi="Arial" w:cs="Arial"/>
          <w:sz w:val="17"/>
          <w:szCs w:val="17"/>
          <w:lang w:val="en-US"/>
        </w:rPr>
        <w:t xml:space="preserve">, </w:t>
      </w:r>
      <w:r w:rsidRPr="00996185">
        <w:rPr>
          <w:rFonts w:ascii="Arial" w:hAnsi="Arial" w:cs="Arial"/>
          <w:i/>
          <w:iCs/>
          <w:sz w:val="17"/>
          <w:szCs w:val="17"/>
          <w:lang w:val="en-US"/>
        </w:rPr>
        <w:t>142</w:t>
      </w:r>
      <w:r w:rsidRPr="00996185">
        <w:rPr>
          <w:rFonts w:ascii="Arial" w:hAnsi="Arial" w:cs="Arial"/>
          <w:sz w:val="17"/>
          <w:szCs w:val="17"/>
          <w:lang w:val="en-US"/>
        </w:rPr>
        <w:t>, 399–406.</w:t>
      </w:r>
    </w:p>
    <w:p w14:paraId="22F005A8"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lastRenderedPageBreak/>
        <w:t>[46]</w:t>
      </w:r>
      <w:r w:rsidRPr="00996185">
        <w:rPr>
          <w:rFonts w:ascii="Arial" w:hAnsi="Arial" w:cs="Arial"/>
          <w:sz w:val="17"/>
          <w:szCs w:val="17"/>
          <w:lang w:val="en-US"/>
        </w:rPr>
        <w:tab/>
        <w:t xml:space="preserve">A. N. Krishnamoorthy, K. Oldiges, M. Winter, A. Heuer, I. Cekic-Laskovic, C. Holm, J. Smiatek, </w:t>
      </w:r>
      <w:r w:rsidRPr="00996185">
        <w:rPr>
          <w:rFonts w:ascii="Arial" w:hAnsi="Arial" w:cs="Arial"/>
          <w:i/>
          <w:iCs/>
          <w:sz w:val="17"/>
          <w:szCs w:val="17"/>
          <w:lang w:val="en-US"/>
        </w:rPr>
        <w:t>Phys. Chem. Chem. Phys.</w:t>
      </w:r>
      <w:r w:rsidRPr="00996185">
        <w:rPr>
          <w:rFonts w:ascii="Arial" w:hAnsi="Arial" w:cs="Arial"/>
          <w:sz w:val="17"/>
          <w:szCs w:val="17"/>
          <w:lang w:val="en-US"/>
        </w:rPr>
        <w:t xml:space="preserve"> </w:t>
      </w:r>
      <w:r w:rsidRPr="00996185">
        <w:rPr>
          <w:rFonts w:ascii="Arial" w:hAnsi="Arial" w:cs="Arial"/>
          <w:b/>
          <w:bCs/>
          <w:sz w:val="17"/>
          <w:szCs w:val="17"/>
          <w:lang w:val="en-US"/>
        </w:rPr>
        <w:t>2018</w:t>
      </w:r>
      <w:r w:rsidRPr="00996185">
        <w:rPr>
          <w:rFonts w:ascii="Arial" w:hAnsi="Arial" w:cs="Arial"/>
          <w:sz w:val="17"/>
          <w:szCs w:val="17"/>
          <w:lang w:val="en-US"/>
        </w:rPr>
        <w:t xml:space="preserve">, </w:t>
      </w:r>
      <w:r w:rsidRPr="00996185">
        <w:rPr>
          <w:rFonts w:ascii="Arial" w:hAnsi="Arial" w:cs="Arial"/>
          <w:i/>
          <w:iCs/>
          <w:sz w:val="17"/>
          <w:szCs w:val="17"/>
          <w:lang w:val="en-US"/>
        </w:rPr>
        <w:t>20</w:t>
      </w:r>
      <w:r w:rsidRPr="00996185">
        <w:rPr>
          <w:rFonts w:ascii="Arial" w:hAnsi="Arial" w:cs="Arial"/>
          <w:sz w:val="17"/>
          <w:szCs w:val="17"/>
          <w:lang w:val="en-US"/>
        </w:rPr>
        <w:t>, 25701–25715.</w:t>
      </w:r>
    </w:p>
    <w:p w14:paraId="6D15BACC"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[47]</w:t>
      </w:r>
      <w:r w:rsidRPr="00996185">
        <w:rPr>
          <w:rFonts w:ascii="Arial" w:hAnsi="Arial" w:cs="Arial"/>
          <w:sz w:val="17"/>
          <w:szCs w:val="17"/>
          <w:lang w:val="en-US"/>
        </w:rPr>
        <w:tab/>
        <w:t xml:space="preserve">K. Xu, Y. Lam, S. S. Zhang, T. R. Jow, T. B. Curtis, </w:t>
      </w:r>
      <w:r w:rsidRPr="00996185">
        <w:rPr>
          <w:rFonts w:ascii="Arial" w:hAnsi="Arial" w:cs="Arial"/>
          <w:i/>
          <w:iCs/>
          <w:sz w:val="17"/>
          <w:szCs w:val="17"/>
          <w:lang w:val="en-US"/>
        </w:rPr>
        <w:t>J. Phys. Chem. C</w:t>
      </w:r>
      <w:r w:rsidRPr="00996185">
        <w:rPr>
          <w:rFonts w:ascii="Arial" w:hAnsi="Arial" w:cs="Arial"/>
          <w:sz w:val="17"/>
          <w:szCs w:val="17"/>
          <w:lang w:val="en-US"/>
        </w:rPr>
        <w:t xml:space="preserve"> </w:t>
      </w:r>
      <w:r w:rsidRPr="00996185">
        <w:rPr>
          <w:rFonts w:ascii="Arial" w:hAnsi="Arial" w:cs="Arial"/>
          <w:b/>
          <w:bCs/>
          <w:sz w:val="17"/>
          <w:szCs w:val="17"/>
          <w:lang w:val="en-US"/>
        </w:rPr>
        <w:t>2007</w:t>
      </w:r>
      <w:r w:rsidRPr="00996185">
        <w:rPr>
          <w:rFonts w:ascii="Arial" w:hAnsi="Arial" w:cs="Arial"/>
          <w:sz w:val="17"/>
          <w:szCs w:val="17"/>
          <w:lang w:val="en-US"/>
        </w:rPr>
        <w:t xml:space="preserve">, </w:t>
      </w:r>
      <w:r w:rsidRPr="00996185">
        <w:rPr>
          <w:rFonts w:ascii="Arial" w:hAnsi="Arial" w:cs="Arial"/>
          <w:i/>
          <w:iCs/>
          <w:sz w:val="17"/>
          <w:szCs w:val="17"/>
          <w:lang w:val="en-US"/>
        </w:rPr>
        <w:t>111</w:t>
      </w:r>
      <w:r w:rsidRPr="00996185">
        <w:rPr>
          <w:rFonts w:ascii="Arial" w:hAnsi="Arial" w:cs="Arial"/>
          <w:sz w:val="17"/>
          <w:szCs w:val="17"/>
          <w:lang w:val="en-US"/>
        </w:rPr>
        <w:t>, 7411–7421.</w:t>
      </w:r>
    </w:p>
    <w:p w14:paraId="75AC09DC"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[48]</w:t>
      </w:r>
      <w:r w:rsidRPr="00996185">
        <w:rPr>
          <w:rFonts w:ascii="Arial" w:hAnsi="Arial" w:cs="Arial"/>
          <w:sz w:val="17"/>
          <w:szCs w:val="17"/>
          <w:lang w:val="en-US"/>
        </w:rPr>
        <w:tab/>
        <w:t xml:space="preserve">L. O. Valøen, J. N. Reimers, </w:t>
      </w:r>
      <w:r w:rsidRPr="00996185">
        <w:rPr>
          <w:rFonts w:ascii="Arial" w:hAnsi="Arial" w:cs="Arial"/>
          <w:i/>
          <w:iCs/>
          <w:sz w:val="17"/>
          <w:szCs w:val="17"/>
          <w:lang w:val="en-US"/>
        </w:rPr>
        <w:t>J. Electrochem. Soc.</w:t>
      </w:r>
      <w:r w:rsidRPr="00996185">
        <w:rPr>
          <w:rFonts w:ascii="Arial" w:hAnsi="Arial" w:cs="Arial"/>
          <w:sz w:val="17"/>
          <w:szCs w:val="17"/>
          <w:lang w:val="en-US"/>
        </w:rPr>
        <w:t xml:space="preserve"> </w:t>
      </w:r>
      <w:r w:rsidRPr="00996185">
        <w:rPr>
          <w:rFonts w:ascii="Arial" w:hAnsi="Arial" w:cs="Arial"/>
          <w:b/>
          <w:bCs/>
          <w:sz w:val="17"/>
          <w:szCs w:val="17"/>
          <w:lang w:val="en-US"/>
        </w:rPr>
        <w:t>2005</w:t>
      </w:r>
      <w:r w:rsidRPr="00996185">
        <w:rPr>
          <w:rFonts w:ascii="Arial" w:hAnsi="Arial" w:cs="Arial"/>
          <w:sz w:val="17"/>
          <w:szCs w:val="17"/>
          <w:lang w:val="en-US"/>
        </w:rPr>
        <w:t xml:space="preserve">, </w:t>
      </w:r>
      <w:r w:rsidRPr="00996185">
        <w:rPr>
          <w:rFonts w:ascii="Arial" w:hAnsi="Arial" w:cs="Arial"/>
          <w:i/>
          <w:iCs/>
          <w:sz w:val="17"/>
          <w:szCs w:val="17"/>
          <w:lang w:val="en-US"/>
        </w:rPr>
        <w:t>152</w:t>
      </w:r>
      <w:r w:rsidRPr="00996185">
        <w:rPr>
          <w:rFonts w:ascii="Arial" w:hAnsi="Arial" w:cs="Arial"/>
          <w:sz w:val="17"/>
          <w:szCs w:val="17"/>
          <w:lang w:val="en-US"/>
        </w:rPr>
        <w:t>, A882.</w:t>
      </w:r>
    </w:p>
    <w:p w14:paraId="64033089"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[49]</w:t>
      </w:r>
      <w:r w:rsidRPr="00996185">
        <w:rPr>
          <w:rFonts w:ascii="Arial" w:hAnsi="Arial" w:cs="Arial"/>
          <w:sz w:val="17"/>
          <w:szCs w:val="17"/>
          <w:lang w:val="en-US"/>
        </w:rPr>
        <w:tab/>
        <w:t xml:space="preserve">A. Nyman, M. Behm, G. Lindbergh, </w:t>
      </w:r>
      <w:r w:rsidRPr="00996185">
        <w:rPr>
          <w:rFonts w:ascii="Arial" w:hAnsi="Arial" w:cs="Arial"/>
          <w:i/>
          <w:iCs/>
          <w:sz w:val="17"/>
          <w:szCs w:val="17"/>
          <w:lang w:val="en-US"/>
        </w:rPr>
        <w:t>Electrochimica Acta</w:t>
      </w:r>
      <w:r w:rsidRPr="00996185">
        <w:rPr>
          <w:rFonts w:ascii="Arial" w:hAnsi="Arial" w:cs="Arial"/>
          <w:sz w:val="17"/>
          <w:szCs w:val="17"/>
          <w:lang w:val="en-US"/>
        </w:rPr>
        <w:t xml:space="preserve"> </w:t>
      </w:r>
      <w:r w:rsidRPr="00996185">
        <w:rPr>
          <w:rFonts w:ascii="Arial" w:hAnsi="Arial" w:cs="Arial"/>
          <w:b/>
          <w:bCs/>
          <w:sz w:val="17"/>
          <w:szCs w:val="17"/>
          <w:lang w:val="en-US"/>
        </w:rPr>
        <w:t>2008</w:t>
      </w:r>
      <w:r w:rsidRPr="00996185">
        <w:rPr>
          <w:rFonts w:ascii="Arial" w:hAnsi="Arial" w:cs="Arial"/>
          <w:sz w:val="17"/>
          <w:szCs w:val="17"/>
          <w:lang w:val="en-US"/>
        </w:rPr>
        <w:t xml:space="preserve">, </w:t>
      </w:r>
      <w:r w:rsidRPr="00996185">
        <w:rPr>
          <w:rFonts w:ascii="Arial" w:hAnsi="Arial" w:cs="Arial"/>
          <w:i/>
          <w:iCs/>
          <w:sz w:val="17"/>
          <w:szCs w:val="17"/>
          <w:lang w:val="en-US"/>
        </w:rPr>
        <w:t>53</w:t>
      </w:r>
      <w:r w:rsidRPr="00996185">
        <w:rPr>
          <w:rFonts w:ascii="Arial" w:hAnsi="Arial" w:cs="Arial"/>
          <w:sz w:val="17"/>
          <w:szCs w:val="17"/>
          <w:lang w:val="en-US"/>
        </w:rPr>
        <w:t>, 6356–6365.</w:t>
      </w:r>
    </w:p>
    <w:p w14:paraId="6969DC19"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[50]</w:t>
      </w:r>
      <w:r w:rsidRPr="00996185">
        <w:rPr>
          <w:rFonts w:ascii="Arial" w:hAnsi="Arial" w:cs="Arial"/>
          <w:sz w:val="17"/>
          <w:szCs w:val="17"/>
          <w:lang w:val="en-US"/>
        </w:rPr>
        <w:tab/>
        <w:t xml:space="preserve">D. Aurbach, K. Gamolsky, B. Markovsky, Y. Gofer, M. Schmidt, U. Heider, </w:t>
      </w:r>
      <w:r w:rsidRPr="00996185">
        <w:rPr>
          <w:rFonts w:ascii="Arial" w:hAnsi="Arial" w:cs="Arial"/>
          <w:i/>
          <w:iCs/>
          <w:sz w:val="17"/>
          <w:szCs w:val="17"/>
          <w:lang w:val="en-US"/>
        </w:rPr>
        <w:t>Electrochimica Acta</w:t>
      </w:r>
      <w:r w:rsidRPr="00996185">
        <w:rPr>
          <w:rFonts w:ascii="Arial" w:hAnsi="Arial" w:cs="Arial"/>
          <w:sz w:val="17"/>
          <w:szCs w:val="17"/>
          <w:lang w:val="en-US"/>
        </w:rPr>
        <w:t xml:space="preserve"> </w:t>
      </w:r>
      <w:r w:rsidRPr="00996185">
        <w:rPr>
          <w:rFonts w:ascii="Arial" w:hAnsi="Arial" w:cs="Arial"/>
          <w:b/>
          <w:bCs/>
          <w:sz w:val="17"/>
          <w:szCs w:val="17"/>
          <w:lang w:val="en-US"/>
        </w:rPr>
        <w:t>2002</w:t>
      </w:r>
      <w:r w:rsidRPr="00996185">
        <w:rPr>
          <w:rFonts w:ascii="Arial" w:hAnsi="Arial" w:cs="Arial"/>
          <w:sz w:val="17"/>
          <w:szCs w:val="17"/>
          <w:lang w:val="en-US"/>
        </w:rPr>
        <w:t xml:space="preserve">, </w:t>
      </w:r>
      <w:r w:rsidRPr="00996185">
        <w:rPr>
          <w:rFonts w:ascii="Arial" w:hAnsi="Arial" w:cs="Arial"/>
          <w:i/>
          <w:iCs/>
          <w:sz w:val="17"/>
          <w:szCs w:val="17"/>
          <w:lang w:val="en-US"/>
        </w:rPr>
        <w:t>47</w:t>
      </w:r>
      <w:r w:rsidRPr="00996185">
        <w:rPr>
          <w:rFonts w:ascii="Arial" w:hAnsi="Arial" w:cs="Arial"/>
          <w:sz w:val="17"/>
          <w:szCs w:val="17"/>
          <w:lang w:val="en-US"/>
        </w:rPr>
        <w:t>, 1423–1439.</w:t>
      </w:r>
    </w:p>
    <w:p w14:paraId="1D2D8D3E" w14:textId="77777777" w:rsidR="00147125" w:rsidRPr="00996185" w:rsidRDefault="00147125" w:rsidP="001F05BE">
      <w:pPr>
        <w:pStyle w:val="Literaturverzeichnis"/>
        <w:jc w:val="both"/>
        <w:rPr>
          <w:rFonts w:ascii="Arial" w:hAnsi="Arial" w:cs="Arial"/>
          <w:sz w:val="17"/>
          <w:szCs w:val="17"/>
          <w:lang w:val="en-US"/>
        </w:rPr>
      </w:pPr>
      <w:r w:rsidRPr="00996185">
        <w:rPr>
          <w:rFonts w:ascii="Arial" w:hAnsi="Arial" w:cs="Arial"/>
          <w:sz w:val="17"/>
          <w:szCs w:val="17"/>
          <w:lang w:val="en-US"/>
        </w:rPr>
        <w:t>[51]</w:t>
      </w:r>
      <w:r w:rsidRPr="00996185">
        <w:rPr>
          <w:rFonts w:ascii="Arial" w:hAnsi="Arial" w:cs="Arial"/>
          <w:sz w:val="17"/>
          <w:szCs w:val="17"/>
          <w:lang w:val="en-US"/>
        </w:rPr>
        <w:tab/>
        <w:t xml:space="preserve">Y. Qian, C. Schultz, P. Niehoff, T. Schwieters, S. Nowak, F. M. Schappacher, M. Winter, </w:t>
      </w:r>
      <w:r w:rsidRPr="00996185">
        <w:rPr>
          <w:rFonts w:ascii="Arial" w:hAnsi="Arial" w:cs="Arial"/>
          <w:i/>
          <w:iCs/>
          <w:sz w:val="17"/>
          <w:szCs w:val="17"/>
          <w:lang w:val="en-US"/>
        </w:rPr>
        <w:t>J. Power Sources</w:t>
      </w:r>
      <w:r w:rsidRPr="00996185">
        <w:rPr>
          <w:rFonts w:ascii="Arial" w:hAnsi="Arial" w:cs="Arial"/>
          <w:sz w:val="17"/>
          <w:szCs w:val="17"/>
          <w:lang w:val="en-US"/>
        </w:rPr>
        <w:t xml:space="preserve"> </w:t>
      </w:r>
      <w:r w:rsidRPr="00996185">
        <w:rPr>
          <w:rFonts w:ascii="Arial" w:hAnsi="Arial" w:cs="Arial"/>
          <w:b/>
          <w:bCs/>
          <w:sz w:val="17"/>
          <w:szCs w:val="17"/>
          <w:lang w:val="en-US"/>
        </w:rPr>
        <w:t>2016</w:t>
      </w:r>
      <w:r w:rsidRPr="00996185">
        <w:rPr>
          <w:rFonts w:ascii="Arial" w:hAnsi="Arial" w:cs="Arial"/>
          <w:sz w:val="17"/>
          <w:szCs w:val="17"/>
          <w:lang w:val="en-US"/>
        </w:rPr>
        <w:t xml:space="preserve">, </w:t>
      </w:r>
      <w:r w:rsidRPr="00996185">
        <w:rPr>
          <w:rFonts w:ascii="Arial" w:hAnsi="Arial" w:cs="Arial"/>
          <w:i/>
          <w:iCs/>
          <w:sz w:val="17"/>
          <w:szCs w:val="17"/>
          <w:lang w:val="en-US"/>
        </w:rPr>
        <w:t>332</w:t>
      </w:r>
      <w:r w:rsidRPr="00996185">
        <w:rPr>
          <w:rFonts w:ascii="Arial" w:hAnsi="Arial" w:cs="Arial"/>
          <w:sz w:val="17"/>
          <w:szCs w:val="17"/>
          <w:lang w:val="en-US"/>
        </w:rPr>
        <w:t>, 60–71.</w:t>
      </w:r>
    </w:p>
    <w:p w14:paraId="7790350C" w14:textId="77777777" w:rsidR="00147125" w:rsidRPr="00996185" w:rsidRDefault="00147125" w:rsidP="001F05BE">
      <w:pPr>
        <w:pStyle w:val="Literaturverzeichnis"/>
        <w:jc w:val="both"/>
        <w:rPr>
          <w:rFonts w:ascii="Arial" w:hAnsi="Arial" w:cs="Arial"/>
          <w:sz w:val="17"/>
          <w:szCs w:val="17"/>
        </w:rPr>
      </w:pPr>
      <w:r w:rsidRPr="00996185">
        <w:rPr>
          <w:rFonts w:ascii="Arial" w:hAnsi="Arial" w:cs="Arial"/>
          <w:sz w:val="17"/>
          <w:szCs w:val="17"/>
        </w:rPr>
        <w:t>[52]</w:t>
      </w:r>
      <w:r w:rsidRPr="00996185">
        <w:rPr>
          <w:rFonts w:ascii="Arial" w:hAnsi="Arial" w:cs="Arial"/>
          <w:sz w:val="17"/>
          <w:szCs w:val="17"/>
        </w:rPr>
        <w:tab/>
        <w:t xml:space="preserve">M.-M. Walz, D. van der Spoel, </w:t>
      </w:r>
      <w:r w:rsidRPr="00996185">
        <w:rPr>
          <w:rFonts w:ascii="Arial" w:hAnsi="Arial" w:cs="Arial"/>
          <w:i/>
          <w:iCs/>
          <w:sz w:val="17"/>
          <w:szCs w:val="17"/>
        </w:rPr>
        <w:t>Commun. Chem.</w:t>
      </w:r>
      <w:r w:rsidRPr="00996185">
        <w:rPr>
          <w:rFonts w:ascii="Arial" w:hAnsi="Arial" w:cs="Arial"/>
          <w:sz w:val="17"/>
          <w:szCs w:val="17"/>
        </w:rPr>
        <w:t xml:space="preserve"> </w:t>
      </w:r>
      <w:r w:rsidRPr="00996185">
        <w:rPr>
          <w:rFonts w:ascii="Arial" w:hAnsi="Arial" w:cs="Arial"/>
          <w:b/>
          <w:bCs/>
          <w:sz w:val="17"/>
          <w:szCs w:val="17"/>
        </w:rPr>
        <w:t>2021</w:t>
      </w:r>
      <w:r w:rsidRPr="00996185">
        <w:rPr>
          <w:rFonts w:ascii="Arial" w:hAnsi="Arial" w:cs="Arial"/>
          <w:sz w:val="17"/>
          <w:szCs w:val="17"/>
        </w:rPr>
        <w:t xml:space="preserve">, </w:t>
      </w:r>
      <w:r w:rsidRPr="00996185">
        <w:rPr>
          <w:rFonts w:ascii="Arial" w:hAnsi="Arial" w:cs="Arial"/>
          <w:i/>
          <w:iCs/>
          <w:sz w:val="17"/>
          <w:szCs w:val="17"/>
        </w:rPr>
        <w:t>4</w:t>
      </w:r>
      <w:r w:rsidRPr="00996185">
        <w:rPr>
          <w:rFonts w:ascii="Arial" w:hAnsi="Arial" w:cs="Arial"/>
          <w:sz w:val="17"/>
          <w:szCs w:val="17"/>
        </w:rPr>
        <w:t>, 9.</w:t>
      </w:r>
    </w:p>
    <w:p w14:paraId="72501008" w14:textId="77777777" w:rsidR="00147125" w:rsidRPr="00996185" w:rsidRDefault="00147125" w:rsidP="001F05BE">
      <w:pPr>
        <w:pStyle w:val="Literaturverzeichnis"/>
        <w:jc w:val="both"/>
        <w:rPr>
          <w:rFonts w:ascii="Arial" w:hAnsi="Arial" w:cs="Arial"/>
          <w:sz w:val="17"/>
          <w:szCs w:val="17"/>
        </w:rPr>
      </w:pPr>
      <w:r w:rsidRPr="00996185">
        <w:rPr>
          <w:rFonts w:ascii="Arial" w:hAnsi="Arial" w:cs="Arial"/>
          <w:sz w:val="17"/>
          <w:szCs w:val="17"/>
        </w:rPr>
        <w:t>[53]</w:t>
      </w:r>
      <w:r w:rsidRPr="00996185">
        <w:rPr>
          <w:rFonts w:ascii="Arial" w:hAnsi="Arial" w:cs="Arial"/>
          <w:sz w:val="17"/>
          <w:szCs w:val="17"/>
        </w:rPr>
        <w:tab/>
        <w:t xml:space="preserve">V. Makarenkov, D. Kevorkov, P. Zentilli, A. Gagarin, N. Malo, R. Nadon, </w:t>
      </w:r>
      <w:r w:rsidRPr="00996185">
        <w:rPr>
          <w:rFonts w:ascii="Arial" w:hAnsi="Arial" w:cs="Arial"/>
          <w:i/>
          <w:iCs/>
          <w:sz w:val="17"/>
          <w:szCs w:val="17"/>
        </w:rPr>
        <w:t>Bioinformatics</w:t>
      </w:r>
      <w:r w:rsidRPr="00996185">
        <w:rPr>
          <w:rFonts w:ascii="Arial" w:hAnsi="Arial" w:cs="Arial"/>
          <w:sz w:val="17"/>
          <w:szCs w:val="17"/>
        </w:rPr>
        <w:t xml:space="preserve"> </w:t>
      </w:r>
      <w:r w:rsidRPr="00996185">
        <w:rPr>
          <w:rFonts w:ascii="Arial" w:hAnsi="Arial" w:cs="Arial"/>
          <w:b/>
          <w:bCs/>
          <w:sz w:val="17"/>
          <w:szCs w:val="17"/>
        </w:rPr>
        <w:t>2006</w:t>
      </w:r>
      <w:r w:rsidRPr="00996185">
        <w:rPr>
          <w:rFonts w:ascii="Arial" w:hAnsi="Arial" w:cs="Arial"/>
          <w:sz w:val="17"/>
          <w:szCs w:val="17"/>
        </w:rPr>
        <w:t xml:space="preserve">, </w:t>
      </w:r>
      <w:r w:rsidRPr="00996185">
        <w:rPr>
          <w:rFonts w:ascii="Arial" w:hAnsi="Arial" w:cs="Arial"/>
          <w:i/>
          <w:iCs/>
          <w:sz w:val="17"/>
          <w:szCs w:val="17"/>
        </w:rPr>
        <w:t>22</w:t>
      </w:r>
      <w:r w:rsidRPr="00996185">
        <w:rPr>
          <w:rFonts w:ascii="Arial" w:hAnsi="Arial" w:cs="Arial"/>
          <w:sz w:val="17"/>
          <w:szCs w:val="17"/>
        </w:rPr>
        <w:t>, 1408–1409.</w:t>
      </w:r>
    </w:p>
    <w:p w14:paraId="0483FAB8" w14:textId="77777777" w:rsidR="00147125" w:rsidRPr="00996185" w:rsidRDefault="00147125" w:rsidP="001F05BE">
      <w:pPr>
        <w:pStyle w:val="Literaturverzeichnis"/>
        <w:jc w:val="both"/>
        <w:rPr>
          <w:rFonts w:ascii="Arial" w:hAnsi="Arial" w:cs="Arial"/>
          <w:sz w:val="17"/>
          <w:szCs w:val="17"/>
        </w:rPr>
      </w:pPr>
      <w:r w:rsidRPr="00996185">
        <w:rPr>
          <w:rFonts w:ascii="Arial" w:hAnsi="Arial" w:cs="Arial"/>
          <w:sz w:val="17"/>
          <w:szCs w:val="17"/>
        </w:rPr>
        <w:t>[54]</w:t>
      </w:r>
      <w:r w:rsidRPr="00996185">
        <w:rPr>
          <w:rFonts w:ascii="Arial" w:hAnsi="Arial" w:cs="Arial"/>
          <w:sz w:val="17"/>
          <w:szCs w:val="17"/>
        </w:rPr>
        <w:tab/>
        <w:t xml:space="preserve">J. Rein, J. R. Annand, M. K. Wismer, J. Fu, J. C Siu, A. Klapars, N. A. Strotman, D. Kalyani, D. Lehnherr, S. Lin, </w:t>
      </w:r>
      <w:r w:rsidRPr="00996185">
        <w:rPr>
          <w:rFonts w:ascii="Arial" w:hAnsi="Arial" w:cs="Arial"/>
          <w:i/>
          <w:iCs/>
          <w:sz w:val="17"/>
          <w:szCs w:val="17"/>
        </w:rPr>
        <w:t>ACS Cent. Sci.</w:t>
      </w:r>
      <w:r w:rsidRPr="00996185">
        <w:rPr>
          <w:rFonts w:ascii="Arial" w:hAnsi="Arial" w:cs="Arial"/>
          <w:sz w:val="17"/>
          <w:szCs w:val="17"/>
        </w:rPr>
        <w:t xml:space="preserve"> </w:t>
      </w:r>
      <w:r w:rsidRPr="00996185">
        <w:rPr>
          <w:rFonts w:ascii="Arial" w:hAnsi="Arial" w:cs="Arial"/>
          <w:b/>
          <w:bCs/>
          <w:sz w:val="17"/>
          <w:szCs w:val="17"/>
        </w:rPr>
        <w:t>2021</w:t>
      </w:r>
      <w:r w:rsidRPr="00996185">
        <w:rPr>
          <w:rFonts w:ascii="Arial" w:hAnsi="Arial" w:cs="Arial"/>
          <w:sz w:val="17"/>
          <w:szCs w:val="17"/>
        </w:rPr>
        <w:t xml:space="preserve">, </w:t>
      </w:r>
      <w:r w:rsidRPr="00996185">
        <w:rPr>
          <w:rFonts w:ascii="Arial" w:hAnsi="Arial" w:cs="Arial"/>
          <w:i/>
          <w:iCs/>
          <w:sz w:val="17"/>
          <w:szCs w:val="17"/>
        </w:rPr>
        <w:t>7</w:t>
      </w:r>
      <w:r w:rsidRPr="00996185">
        <w:rPr>
          <w:rFonts w:ascii="Arial" w:hAnsi="Arial" w:cs="Arial"/>
          <w:sz w:val="17"/>
          <w:szCs w:val="17"/>
        </w:rPr>
        <w:t>, 1347–1355.</w:t>
      </w:r>
    </w:p>
    <w:p w14:paraId="56362967" w14:textId="77777777" w:rsidR="00147125" w:rsidRPr="00996185" w:rsidRDefault="00147125" w:rsidP="001F05BE">
      <w:pPr>
        <w:pStyle w:val="Literaturverzeichnis"/>
        <w:jc w:val="both"/>
        <w:rPr>
          <w:lang w:val="en-US"/>
        </w:rPr>
      </w:pPr>
      <w:r w:rsidRPr="00996185">
        <w:rPr>
          <w:rFonts w:ascii="Arial" w:hAnsi="Arial" w:cs="Arial"/>
          <w:sz w:val="17"/>
          <w:szCs w:val="17"/>
          <w:lang w:val="en-US"/>
        </w:rPr>
        <w:t>[55]</w:t>
      </w:r>
      <w:r w:rsidRPr="00996185">
        <w:rPr>
          <w:rFonts w:ascii="Arial" w:hAnsi="Arial" w:cs="Arial"/>
          <w:sz w:val="17"/>
          <w:szCs w:val="17"/>
          <w:lang w:val="en-US"/>
        </w:rPr>
        <w:tab/>
        <w:t xml:space="preserve">S. Matsuda, K. Nishioka, S. Nakanishi, </w:t>
      </w:r>
      <w:r w:rsidRPr="00996185">
        <w:rPr>
          <w:rFonts w:ascii="Arial" w:hAnsi="Arial" w:cs="Arial"/>
          <w:i/>
          <w:iCs/>
          <w:sz w:val="17"/>
          <w:szCs w:val="17"/>
          <w:lang w:val="en-US"/>
        </w:rPr>
        <w:t>Sci. Rep.</w:t>
      </w:r>
      <w:r w:rsidRPr="00996185">
        <w:rPr>
          <w:rFonts w:ascii="Arial" w:hAnsi="Arial" w:cs="Arial"/>
          <w:sz w:val="17"/>
          <w:szCs w:val="17"/>
          <w:lang w:val="en-US"/>
        </w:rPr>
        <w:t xml:space="preserve"> </w:t>
      </w:r>
      <w:r w:rsidRPr="00996185">
        <w:rPr>
          <w:rFonts w:ascii="Arial" w:hAnsi="Arial" w:cs="Arial"/>
          <w:b/>
          <w:bCs/>
          <w:sz w:val="17"/>
          <w:szCs w:val="17"/>
          <w:lang w:val="en-US"/>
        </w:rPr>
        <w:t>2019</w:t>
      </w:r>
      <w:r w:rsidRPr="00996185">
        <w:rPr>
          <w:rFonts w:ascii="Arial" w:hAnsi="Arial" w:cs="Arial"/>
          <w:sz w:val="17"/>
          <w:szCs w:val="17"/>
          <w:lang w:val="en-US"/>
        </w:rPr>
        <w:t xml:space="preserve">, </w:t>
      </w:r>
      <w:r w:rsidRPr="00996185">
        <w:rPr>
          <w:rFonts w:ascii="Arial" w:hAnsi="Arial" w:cs="Arial"/>
          <w:i/>
          <w:iCs/>
          <w:sz w:val="17"/>
          <w:szCs w:val="17"/>
          <w:lang w:val="en-US"/>
        </w:rPr>
        <w:t>9</w:t>
      </w:r>
      <w:r w:rsidRPr="00996185">
        <w:rPr>
          <w:rFonts w:ascii="Arial" w:hAnsi="Arial" w:cs="Arial"/>
          <w:sz w:val="17"/>
          <w:szCs w:val="17"/>
          <w:lang w:val="en-US"/>
        </w:rPr>
        <w:t>, 6211.</w:t>
      </w:r>
    </w:p>
    <w:p w14:paraId="0A869E6F" w14:textId="2A65915A" w:rsidR="004A47D4" w:rsidRPr="00996185" w:rsidRDefault="00036C68" w:rsidP="001F05BE">
      <w:pPr>
        <w:rPr>
          <w:rStyle w:val="None"/>
          <w:lang w:val="en-US"/>
        </w:rPr>
      </w:pPr>
      <w:r w:rsidRPr="00996185">
        <w:rPr>
          <w:rStyle w:val="None"/>
          <w:rFonts w:eastAsia="Arial Unicode MS" w:cs="Arial Unicode MS"/>
          <w:sz w:val="14"/>
          <w:szCs w:val="14"/>
          <w:lang w:val="en-US"/>
        </w:rPr>
        <w:fldChar w:fldCharType="end"/>
      </w:r>
    </w:p>
    <w:p w14:paraId="6978B9A0" w14:textId="77777777" w:rsidR="004A47D4" w:rsidRPr="00996185" w:rsidRDefault="004A47D4" w:rsidP="001F05BE">
      <w:pPr>
        <w:rPr>
          <w:rStyle w:val="None"/>
          <w:lang w:val="en-US"/>
        </w:rPr>
      </w:pPr>
    </w:p>
    <w:p w14:paraId="57761CE5" w14:textId="77777777" w:rsidR="004A47D4" w:rsidRPr="00996185" w:rsidRDefault="004A47D4" w:rsidP="001F05BE">
      <w:pPr>
        <w:rPr>
          <w:lang w:val="en-US"/>
        </w:rPr>
        <w:sectPr w:rsidR="004A47D4" w:rsidRPr="00996185">
          <w:type w:val="continuous"/>
          <w:pgSz w:w="11900" w:h="16840"/>
          <w:pgMar w:top="1134" w:right="936" w:bottom="1134" w:left="936" w:header="709" w:footer="0" w:gutter="0"/>
          <w:cols w:num="2" w:space="284"/>
          <w:docGrid w:linePitch="360"/>
        </w:sectPr>
      </w:pPr>
    </w:p>
    <w:p w14:paraId="693F5B00" w14:textId="77777777" w:rsidR="004A47D4" w:rsidRPr="00996185" w:rsidRDefault="004A47D4" w:rsidP="001F05BE">
      <w:pPr>
        <w:rPr>
          <w:rStyle w:val="None"/>
          <w:lang w:val="en-US"/>
        </w:rPr>
      </w:pPr>
    </w:p>
    <w:p w14:paraId="3E92F8B9" w14:textId="77777777" w:rsidR="004A47D4" w:rsidRPr="00996185" w:rsidRDefault="00EB2A2E" w:rsidP="001F05BE">
      <w:pPr>
        <w:rPr>
          <w:rStyle w:val="None"/>
          <w:b/>
          <w:bCs/>
          <w:lang w:val="en-US"/>
        </w:rPr>
      </w:pPr>
      <w:r w:rsidRPr="00996185">
        <w:rPr>
          <w:rStyle w:val="None"/>
          <w:b/>
          <w:bCs/>
          <w:lang w:val="en-US"/>
        </w:rPr>
        <w:t>Entry for the Table of Contents</w:t>
      </w:r>
    </w:p>
    <w:p w14:paraId="275CB65D" w14:textId="77777777" w:rsidR="004A47D4" w:rsidRPr="00996185" w:rsidRDefault="00EB2A2E" w:rsidP="001F05BE">
      <w:pPr>
        <w:pStyle w:val="TableOfContentText"/>
        <w:rPr>
          <w:rStyle w:val="None"/>
          <w:color w:val="FF0000"/>
        </w:rPr>
      </w:pPr>
      <w:r w:rsidRPr="00996185">
        <w:rPr>
          <w:rStyle w:val="None"/>
          <w:noProof/>
          <w:lang w:eastAsia="en-US"/>
        </w:rPr>
        <mc:AlternateContent>
          <mc:Choice Requires="wpg">
            <w:drawing>
              <wp:inline distT="0" distB="0" distL="0" distR="0" wp14:anchorId="2803604F" wp14:editId="24928A65">
                <wp:extent cx="1979295" cy="1319530"/>
                <wp:effectExtent l="0" t="0" r="0" b="0"/>
                <wp:docPr id="9" name="officeArt object" descr="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Grafik 1" descr="Grafik 1"/>
                        <pic:cNvPicPr>
                          <a:picLocks noChangeAspect="1"/>
                        </pic:cNvPicPr>
                      </pic:nvPicPr>
                      <pic:blipFill>
                        <a:blip r:embed="rId24"/>
                        <a:stretch/>
                      </pic:blipFill>
                      <pic:spPr bwMode="auto">
                        <a:xfrm>
                          <a:off x="0" y="0"/>
                          <a:ext cx="1979294" cy="131953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155.8pt;height:103.9pt;" stroked="f" strokeweight="1.00pt">
                <v:path textboxrect="0,0,0,0"/>
                <v:imagedata r:id="rId25" o:title=""/>
              </v:shape>
            </w:pict>
          </mc:Fallback>
        </mc:AlternateContent>
      </w:r>
    </w:p>
    <w:p w14:paraId="2ACCC981" w14:textId="21B7C367" w:rsidR="004A47D4" w:rsidRDefault="00EB2A2E" w:rsidP="001F05BE">
      <w:pPr>
        <w:pStyle w:val="TableOfContentText"/>
        <w:jc w:val="both"/>
      </w:pPr>
      <w:r w:rsidRPr="00996185">
        <w:rPr>
          <w:rStyle w:val="None"/>
        </w:rPr>
        <w:t xml:space="preserve">In this work we propose a scalable data-driven workflow to predict ionic conductivities of non-aqueous battery electrolytes based on linear and Gaussian regression, considering a dataset acquired from </w:t>
      </w:r>
      <w:r w:rsidR="00DF4FA2" w:rsidRPr="00996185">
        <w:rPr>
          <w:rStyle w:val="None"/>
        </w:rPr>
        <w:t>specially designed</w:t>
      </w:r>
      <w:r w:rsidRPr="00996185">
        <w:rPr>
          <w:rStyle w:val="None"/>
        </w:rPr>
        <w:t xml:space="preserve"> high-throughput electrolyte formulation to conductivity measurement sequence. Deeper insight into compositional effects is gained from a data-driven analysis using surrogate models with physically interpretable terms from a generalized Arrhenius analysis</w:t>
      </w:r>
      <w:r w:rsidR="00090DCD" w:rsidRPr="00996185">
        <w:rPr>
          <w:rStyle w:val="None"/>
        </w:rPr>
        <w:t>.</w:t>
      </w:r>
      <w:bookmarkStart w:id="5" w:name="_GoBack"/>
      <w:bookmarkEnd w:id="5"/>
    </w:p>
    <w:sectPr w:rsidR="004A47D4">
      <w:headerReference w:type="default" r:id="rId26"/>
      <w:pgSz w:w="11900" w:h="16840"/>
      <w:pgMar w:top="1134" w:right="936" w:bottom="1134" w:left="936" w:header="709" w:footer="0"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1AA42" w14:textId="77777777" w:rsidR="00CB15C2" w:rsidRDefault="00CB15C2">
      <w:r>
        <w:separator/>
      </w:r>
    </w:p>
  </w:endnote>
  <w:endnote w:type="continuationSeparator" w:id="0">
    <w:p w14:paraId="52318B0D" w14:textId="77777777" w:rsidR="00CB15C2" w:rsidRDefault="00CB1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5535E" w14:textId="23015AE7" w:rsidR="004A47D4" w:rsidRDefault="00EB2A2E">
    <w:pPr>
      <w:pStyle w:val="Fuzeile"/>
      <w:jc w:val="center"/>
    </w:pPr>
    <w:r>
      <w:fldChar w:fldCharType="begin"/>
    </w:r>
    <w:r>
      <w:instrText xml:space="preserve"> PAGE </w:instrText>
    </w:r>
    <w:r>
      <w:fldChar w:fldCharType="separate"/>
    </w:r>
    <w:r w:rsidR="0046545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9779D" w14:textId="77777777" w:rsidR="00CB15C2" w:rsidRDefault="00CB15C2">
      <w:r>
        <w:separator/>
      </w:r>
    </w:p>
  </w:footnote>
  <w:footnote w:type="continuationSeparator" w:id="0">
    <w:p w14:paraId="52F89549" w14:textId="77777777" w:rsidR="00CB15C2" w:rsidRDefault="00CB1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7F39C" w14:textId="77777777" w:rsidR="004A47D4" w:rsidRDefault="00EB2A2E">
    <w:pPr>
      <w:pStyle w:val="Kopfzeile"/>
      <w:pBdr>
        <w:top w:val="none" w:sz="4" w:space="0" w:color="000000"/>
        <w:left w:val="none" w:sz="4" w:space="0" w:color="000000"/>
        <w:bottom w:val="single" w:sz="18" w:space="0" w:color="C0C0C0"/>
        <w:right w:val="none" w:sz="4" w:space="0" w:color="000000"/>
      </w:pBdr>
    </w:pPr>
    <w:r>
      <w:rPr>
        <w:noProof/>
        <w:lang w:val="en-US" w:eastAsia="en-US"/>
      </w:rPr>
      <mc:AlternateContent>
        <mc:Choice Requires="wpg">
          <w:drawing>
            <wp:anchor distT="152400" distB="152400" distL="152400" distR="152400" simplePos="0" relativeHeight="251656192" behindDoc="1" locked="0" layoutInCell="1" allowOverlap="1" wp14:anchorId="24D41A69" wp14:editId="78060030">
              <wp:simplePos x="0" y="0"/>
              <wp:positionH relativeFrom="page">
                <wp:posOffset>-592772</wp:posOffset>
              </wp:positionH>
              <wp:positionV relativeFrom="page">
                <wp:posOffset>-608964</wp:posOffset>
              </wp:positionV>
              <wp:extent cx="8745856" cy="11910060"/>
              <wp:effectExtent l="0" t="0" r="0" b="0"/>
              <wp:wrapNone/>
              <wp:docPr id="10"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stretch/>
                    </pic:blipFill>
                    <pic:spPr bwMode="auto">
                      <a:xfrm>
                        <a:off x="0" y="0"/>
                        <a:ext cx="8745856" cy="11910060"/>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12.0pt;mso-wrap-distance-top:12.0pt;mso-wrap-distance-right:12.0pt;mso-wrap-distance-bottom:12.0pt;z-index:-251658240;o:allowoverlap:true;o:allowincell:true;mso-position-horizontal-relative:page;margin-left:-46.7pt;mso-position-horizontal:absolute;mso-position-vertical-relative:page;margin-top:-47.9pt;mso-position-vertical:absolute;width:688.7pt;height:937.8pt;" stroked="f" strokeweight="1.00pt">
              <v:path textboxrect="0,0,0,0"/>
              <v:imagedata r:id="rId2" o:title=""/>
            </v:shape>
          </w:pict>
        </mc:Fallback>
      </mc:AlternateContent>
    </w:r>
    <w:r>
      <w:rPr>
        <w:noProof/>
        <w:lang w:val="en-US" w:eastAsia="en-US"/>
      </w:rPr>
      <mc:AlternateContent>
        <mc:Choice Requires="wpg">
          <w:drawing>
            <wp:anchor distT="152400" distB="152400" distL="152400" distR="152400" simplePos="0" relativeHeight="251658240" behindDoc="1" locked="0" layoutInCell="1" allowOverlap="1" wp14:anchorId="19422DAC" wp14:editId="1ADED942">
              <wp:simplePos x="0" y="0"/>
              <wp:positionH relativeFrom="page">
                <wp:posOffset>5938520</wp:posOffset>
              </wp:positionH>
              <wp:positionV relativeFrom="page">
                <wp:posOffset>608329</wp:posOffset>
              </wp:positionV>
              <wp:extent cx="1079500" cy="273050"/>
              <wp:effectExtent l="0" t="0" r="0" b="0"/>
              <wp:wrapNone/>
              <wp:docPr id="11" name="officeArt object" descr="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Grafik 1" descr="Grafik 1"/>
                      <pic:cNvPicPr>
                        <a:picLocks noChangeAspect="1"/>
                      </pic:cNvPicPr>
                    </pic:nvPicPr>
                    <pic:blipFill>
                      <a:blip r:embed="rId3"/>
                      <a:stretch/>
                    </pic:blipFill>
                    <pic:spPr bwMode="auto">
                      <a:xfrm>
                        <a:off x="0" y="0"/>
                        <a:ext cx="1079500" cy="273050"/>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12.0pt;mso-wrap-distance-top:12.0pt;mso-wrap-distance-right:12.0pt;mso-wrap-distance-bottom:12.0pt;z-index:-251659264;o:allowoverlap:true;o:allowincell:true;mso-position-horizontal-relative:page;margin-left:467.6pt;mso-position-horizontal:absolute;mso-position-vertical-relative:page;margin-top:47.9pt;mso-position-vertical:absolute;width:85.0pt;height:21.5pt;" stroked="f" strokeweight="1.00pt">
              <v:path textboxrect="0,0,0,0"/>
              <v:imagedata r:id="rId4" o:title=""/>
            </v:shape>
          </w:pict>
        </mc:Fallback>
      </mc:AlternateContent>
    </w:r>
    <w:r>
      <w:rPr>
        <w:rFonts w:ascii="Arial Narrow" w:hAnsi="Arial Narrow"/>
        <w:b/>
        <w:bCs/>
        <w:color w:val="C0C0C0"/>
        <w:sz w:val="32"/>
        <w:szCs w:val="32"/>
      </w:rPr>
      <w:t>RESEARCH ARTICLE</w:t>
    </w:r>
    <w:r>
      <w:rPr>
        <w:rFonts w:ascii="Arial Narrow" w:eastAsia="Arial Narrow" w:hAnsi="Arial Narrow" w:cs="Arial Narrow"/>
        <w:sz w:val="32"/>
        <w:szCs w:val="32"/>
      </w:rPr>
      <w:tab/>
    </w:r>
    <w:r>
      <w:rPr>
        <w:rFonts w:ascii="Arial Narrow" w:eastAsia="Arial Narrow" w:hAnsi="Arial Narrow" w:cs="Arial Narrow"/>
        <w:sz w:val="32"/>
        <w:szCs w:val="32"/>
      </w:rPr>
      <w:tab/>
    </w:r>
    <w:r>
      <w:rPr>
        <w:rFonts w:ascii="Arial Narrow" w:eastAsia="Arial Narrow" w:hAnsi="Arial Narrow" w:cs="Arial Narrow"/>
        <w:sz w:val="32"/>
        <w:szCs w:val="3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54173" w14:textId="77777777" w:rsidR="004A47D4" w:rsidRDefault="00EB2A2E">
    <w:pPr>
      <w:pStyle w:val="HeaderFooter"/>
    </w:pPr>
    <w:r>
      <w:rPr>
        <w:noProof/>
        <w:lang w:val="en-US" w:eastAsia="en-US"/>
      </w:rPr>
      <mc:AlternateContent>
        <mc:Choice Requires="wpg">
          <w:drawing>
            <wp:anchor distT="152400" distB="152400" distL="152400" distR="152400" simplePos="0" relativeHeight="251657216" behindDoc="1" locked="0" layoutInCell="1" allowOverlap="1" wp14:anchorId="72416E2C" wp14:editId="532C8CD6">
              <wp:simplePos x="0" y="0"/>
              <wp:positionH relativeFrom="page">
                <wp:posOffset>-592772</wp:posOffset>
              </wp:positionH>
              <wp:positionV relativeFrom="page">
                <wp:posOffset>-608964</wp:posOffset>
              </wp:positionV>
              <wp:extent cx="8745856" cy="11910060"/>
              <wp:effectExtent l="0" t="0" r="0" b="0"/>
              <wp:wrapNone/>
              <wp:docPr id="3"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
                      <a:stretch/>
                    </pic:blipFill>
                    <pic:spPr bwMode="auto">
                      <a:xfrm>
                        <a:off x="0" y="0"/>
                        <a:ext cx="8745856" cy="11910060"/>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12.0pt;mso-wrap-distance-top:12.0pt;mso-wrap-distance-right:12.0pt;mso-wrap-distance-bottom:12.0pt;z-index:-251658240;o:allowoverlap:true;o:allowincell:true;mso-position-horizontal-relative:page;margin-left:-46.7pt;mso-position-horizontal:absolute;mso-position-vertical-relative:page;margin-top:-47.9pt;mso-position-vertical:absolute;width:688.7pt;height:937.8pt;" stroked="f" strokeweight="1.00pt">
              <v:path textboxrect="0,0,0,0"/>
              <v:imagedata r:id="rId2" o:title=""/>
            </v:shape>
          </w:pict>
        </mc:Fallback>
      </mc:AlternateContent>
    </w:r>
    <w:r>
      <w:rPr>
        <w:noProof/>
        <w:lang w:val="en-US" w:eastAsia="en-US"/>
      </w:rPr>
      <mc:AlternateContent>
        <mc:Choice Requires="wpg">
          <w:drawing>
            <wp:anchor distT="152400" distB="152400" distL="152400" distR="152400" simplePos="0" relativeHeight="251659264" behindDoc="1" locked="0" layoutInCell="1" allowOverlap="1" wp14:anchorId="6F23DB82" wp14:editId="4DA90E66">
              <wp:simplePos x="0" y="0"/>
              <wp:positionH relativeFrom="page">
                <wp:posOffset>5938520</wp:posOffset>
              </wp:positionH>
              <wp:positionV relativeFrom="page">
                <wp:posOffset>608329</wp:posOffset>
              </wp:positionV>
              <wp:extent cx="1079500" cy="273050"/>
              <wp:effectExtent l="0" t="0" r="0" b="0"/>
              <wp:wrapNone/>
              <wp:docPr id="4" name="officeArt object" descr="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Grafik 1" descr="Grafik 1"/>
                      <pic:cNvPicPr>
                        <a:picLocks noChangeAspect="1"/>
                      </pic:cNvPicPr>
                    </pic:nvPicPr>
                    <pic:blipFill>
                      <a:blip r:embed="rId3"/>
                      <a:stretch/>
                    </pic:blipFill>
                    <pic:spPr bwMode="auto">
                      <a:xfrm>
                        <a:off x="0" y="0"/>
                        <a:ext cx="1079500" cy="273050"/>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12.0pt;mso-wrap-distance-top:12.0pt;mso-wrap-distance-right:12.0pt;mso-wrap-distance-bottom:12.0pt;z-index:-251659264;o:allowoverlap:true;o:allowincell:true;mso-position-horizontal-relative:page;margin-left:467.6pt;mso-position-horizontal:absolute;mso-position-vertical-relative:page;margin-top:47.9pt;mso-position-vertical:absolute;width:85.0pt;height:21.5pt;" stroked="f" strokeweight="1.00pt">
              <v:path textboxrect="0,0,0,0"/>
              <v:imagedata r:id="rId4" o:titl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25"/>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7D4"/>
    <w:rsid w:val="0000468A"/>
    <w:rsid w:val="00030E76"/>
    <w:rsid w:val="00036C68"/>
    <w:rsid w:val="000704CE"/>
    <w:rsid w:val="00087479"/>
    <w:rsid w:val="00090DCD"/>
    <w:rsid w:val="000B21D3"/>
    <w:rsid w:val="000D7D2A"/>
    <w:rsid w:val="00102DCA"/>
    <w:rsid w:val="00131110"/>
    <w:rsid w:val="00134568"/>
    <w:rsid w:val="00147125"/>
    <w:rsid w:val="001539A1"/>
    <w:rsid w:val="001A6EA1"/>
    <w:rsid w:val="001F05BE"/>
    <w:rsid w:val="00200D8E"/>
    <w:rsid w:val="00227AD2"/>
    <w:rsid w:val="00230DD1"/>
    <w:rsid w:val="00243C43"/>
    <w:rsid w:val="00281CDB"/>
    <w:rsid w:val="002A2908"/>
    <w:rsid w:val="002A470A"/>
    <w:rsid w:val="002B25A0"/>
    <w:rsid w:val="002D07F5"/>
    <w:rsid w:val="003343C8"/>
    <w:rsid w:val="00361E36"/>
    <w:rsid w:val="0038546F"/>
    <w:rsid w:val="003A4F2B"/>
    <w:rsid w:val="003A7364"/>
    <w:rsid w:val="003D7E4E"/>
    <w:rsid w:val="003E188C"/>
    <w:rsid w:val="003E5633"/>
    <w:rsid w:val="003F4272"/>
    <w:rsid w:val="0046545E"/>
    <w:rsid w:val="00480A79"/>
    <w:rsid w:val="004A47D4"/>
    <w:rsid w:val="004E2CFB"/>
    <w:rsid w:val="00517003"/>
    <w:rsid w:val="00522E61"/>
    <w:rsid w:val="0055189A"/>
    <w:rsid w:val="00554784"/>
    <w:rsid w:val="005674B3"/>
    <w:rsid w:val="005A14D7"/>
    <w:rsid w:val="005B258D"/>
    <w:rsid w:val="005B3BD9"/>
    <w:rsid w:val="005E1349"/>
    <w:rsid w:val="005E47DE"/>
    <w:rsid w:val="00604CC9"/>
    <w:rsid w:val="00634EB4"/>
    <w:rsid w:val="00647EF7"/>
    <w:rsid w:val="006858DB"/>
    <w:rsid w:val="0068620E"/>
    <w:rsid w:val="00694FE2"/>
    <w:rsid w:val="00773582"/>
    <w:rsid w:val="007A39B5"/>
    <w:rsid w:val="007A71A3"/>
    <w:rsid w:val="007B5FE5"/>
    <w:rsid w:val="007E7381"/>
    <w:rsid w:val="008161F6"/>
    <w:rsid w:val="00827A37"/>
    <w:rsid w:val="00835C84"/>
    <w:rsid w:val="008B3C12"/>
    <w:rsid w:val="008F41DF"/>
    <w:rsid w:val="00922A54"/>
    <w:rsid w:val="009231D9"/>
    <w:rsid w:val="00923B0A"/>
    <w:rsid w:val="009612D1"/>
    <w:rsid w:val="00996185"/>
    <w:rsid w:val="009D6B7E"/>
    <w:rsid w:val="009E3C75"/>
    <w:rsid w:val="009F7391"/>
    <w:rsid w:val="00A14CDC"/>
    <w:rsid w:val="00A167AC"/>
    <w:rsid w:val="00A425DB"/>
    <w:rsid w:val="00A6510C"/>
    <w:rsid w:val="00AE1919"/>
    <w:rsid w:val="00AE66C3"/>
    <w:rsid w:val="00B00D55"/>
    <w:rsid w:val="00B03241"/>
    <w:rsid w:val="00B355CF"/>
    <w:rsid w:val="00B61DFA"/>
    <w:rsid w:val="00B731EE"/>
    <w:rsid w:val="00B76E6B"/>
    <w:rsid w:val="00BA10FD"/>
    <w:rsid w:val="00CA3F0B"/>
    <w:rsid w:val="00CB15C2"/>
    <w:rsid w:val="00CE2006"/>
    <w:rsid w:val="00CE5015"/>
    <w:rsid w:val="00D54713"/>
    <w:rsid w:val="00D67E93"/>
    <w:rsid w:val="00DF4FA2"/>
    <w:rsid w:val="00E2117C"/>
    <w:rsid w:val="00EB2A2E"/>
    <w:rsid w:val="00EB77B5"/>
    <w:rsid w:val="00EF2AB4"/>
    <w:rsid w:val="00F8647F"/>
    <w:rsid w:val="00FB1586"/>
    <w:rsid w:val="00FC2FA8"/>
    <w:rsid w:val="00FD13AA"/>
    <w:rsid w:val="00FD1A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AC8F4"/>
  <w15:docId w15:val="{AA7811AD-84F8-463B-A103-F0FABBE7A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Pr>
      <w:rFonts w:eastAsia="Times New Roman"/>
      <w:color w:val="000000"/>
      <w:sz w:val="24"/>
      <w:szCs w:val="24"/>
    </w:r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KopfzeileZchn">
    <w:name w:val="Kopfzeile Zchn"/>
    <w:basedOn w:val="Absatz-Standardschriftart"/>
    <w:link w:val="Kopfzeile"/>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link w:val="KopfzeileZchn"/>
    <w:pPr>
      <w:tabs>
        <w:tab w:val="center" w:pos="4703"/>
        <w:tab w:val="right" w:pos="9406"/>
      </w:tabs>
    </w:pPr>
    <w:rPr>
      <w:rFonts w:cs="Arial Unicode MS"/>
      <w:color w:val="000000"/>
      <w:sz w:val="24"/>
      <w:szCs w:val="24"/>
    </w:rPr>
  </w:style>
  <w:style w:type="paragraph" w:styleId="Fuzeile">
    <w:name w:val="footer"/>
    <w:link w:val="FuzeileZchn"/>
    <w:pPr>
      <w:tabs>
        <w:tab w:val="center" w:pos="4703"/>
        <w:tab w:val="right" w:pos="9406"/>
      </w:tabs>
    </w:pPr>
    <w:rPr>
      <w:rFonts w:eastAsia="Times New Roman"/>
      <w:color w:val="000000"/>
      <w:sz w:val="24"/>
      <w:szCs w:val="24"/>
    </w:rPr>
  </w:style>
  <w:style w:type="paragraph" w:customStyle="1" w:styleId="Authors">
    <w:name w:val="Authors"/>
    <w:pPr>
      <w:spacing w:before="120" w:after="120" w:line="320" w:lineRule="exact"/>
    </w:pPr>
    <w:rPr>
      <w:rFonts w:ascii="Arial" w:hAnsi="Arial" w:cs="Arial Unicode MS"/>
      <w:color w:val="000000"/>
      <w:sz w:val="22"/>
      <w:szCs w:val="22"/>
      <w:lang w:val="en-US"/>
    </w:rPr>
  </w:style>
  <w:style w:type="paragraph" w:customStyle="1" w:styleId="Dedication">
    <w:name w:val="Dedication"/>
    <w:pPr>
      <w:spacing w:before="230" w:after="360" w:line="230" w:lineRule="exact"/>
    </w:pPr>
    <w:rPr>
      <w:rFonts w:ascii="Arial" w:hAnsi="Arial" w:cs="Arial Unicode MS"/>
      <w:color w:val="000000"/>
      <w:sz w:val="17"/>
      <w:szCs w:val="17"/>
    </w:rPr>
  </w:style>
  <w:style w:type="paragraph" w:customStyle="1" w:styleId="Adress">
    <w:name w:val="Adress"/>
    <w:pPr>
      <w:spacing w:line="180" w:lineRule="exact"/>
      <w:ind w:left="425" w:hanging="425"/>
    </w:pPr>
    <w:rPr>
      <w:rFonts w:ascii="Arial" w:hAnsi="Arial" w:cs="Arial Unicode MS"/>
      <w:color w:val="000000"/>
      <w:sz w:val="14"/>
      <w:szCs w:val="14"/>
    </w:rPr>
  </w:style>
  <w:style w:type="character" w:customStyle="1" w:styleId="None">
    <w:name w:val="None"/>
  </w:style>
  <w:style w:type="character" w:customStyle="1" w:styleId="Hyperlink0">
    <w:name w:val="Hyperlink.0"/>
    <w:basedOn w:val="None"/>
    <w:rPr>
      <w:color w:val="0000FF"/>
      <w:u w:val="single"/>
      <w:lang w:val="en-US"/>
      <w14:textOutline w14:w="12700" w14:cap="flat" w14:cmpd="sng" w14:algn="ctr">
        <w14:noFill/>
        <w14:prstDash w14:val="solid"/>
        <w14:miter w14:lim="400000"/>
      </w14:textOutline>
    </w:rPr>
  </w:style>
  <w:style w:type="paragraph" w:customStyle="1" w:styleId="Footnote">
    <w:name w:val="Footnote"/>
    <w:pPr>
      <w:spacing w:before="120" w:line="180" w:lineRule="exact"/>
      <w:ind w:left="425" w:hanging="425"/>
    </w:pPr>
    <w:rPr>
      <w:rFonts w:ascii="Arial" w:eastAsia="Arial" w:hAnsi="Arial" w:cs="Arial"/>
      <w:color w:val="000000"/>
      <w:sz w:val="14"/>
      <w:szCs w:val="14"/>
      <w:lang w:val="en-US"/>
      <w14:textOutline w14:w="0" w14:cap="flat" w14:cmpd="sng" w14:algn="ctr">
        <w14:noFill/>
        <w14:prstDash w14:val="solid"/>
        <w14:bevel/>
      </w14:textOutline>
    </w:rPr>
  </w:style>
  <w:style w:type="paragraph" w:customStyle="1" w:styleId="Abstract">
    <w:name w:val="Abstract"/>
    <w:pPr>
      <w:spacing w:after="600" w:line="225" w:lineRule="exact"/>
      <w:jc w:val="both"/>
    </w:pPr>
    <w:rPr>
      <w:rFonts w:ascii="Arial" w:hAnsi="Arial" w:cs="Arial Unicode MS"/>
      <w:color w:val="000000"/>
      <w:sz w:val="16"/>
      <w:szCs w:val="16"/>
      <w:lang w:val="en-US"/>
    </w:rPr>
  </w:style>
  <w:style w:type="paragraph" w:customStyle="1" w:styleId="H1">
    <w:name w:val="H1"/>
    <w:pPr>
      <w:spacing w:before="480" w:after="230" w:line="225" w:lineRule="exact"/>
    </w:pPr>
    <w:rPr>
      <w:rFonts w:ascii="Arial" w:hAnsi="Arial" w:cs="Arial Unicode MS"/>
      <w:b/>
      <w:bCs/>
      <w:color w:val="000000"/>
      <w:sz w:val="22"/>
      <w:szCs w:val="22"/>
      <w:lang w:val="en-US"/>
    </w:rPr>
  </w:style>
  <w:style w:type="paragraph" w:customStyle="1" w:styleId="P1">
    <w:name w:val="P1"/>
    <w:qFormat/>
    <w:pPr>
      <w:spacing w:line="225" w:lineRule="exact"/>
      <w:jc w:val="both"/>
    </w:pPr>
    <w:rPr>
      <w:rFonts w:ascii="Arial" w:hAnsi="Arial" w:cs="Arial Unicode MS"/>
      <w:color w:val="000000"/>
      <w:sz w:val="17"/>
      <w:szCs w:val="17"/>
      <w:lang w:val="en-US"/>
    </w:rPr>
  </w:style>
  <w:style w:type="character" w:customStyle="1" w:styleId="Hyperlink1">
    <w:name w:val="Hyperlink.1"/>
    <w:basedOn w:val="Hyperlink"/>
    <w:rPr>
      <w:color w:val="0563C1"/>
      <w:u w:val="singl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VAFigureCaption">
    <w:name w:val="VA_Figure_Caption"/>
    <w:next w:val="Standard"/>
    <w:pPr>
      <w:spacing w:after="200" w:line="480" w:lineRule="auto"/>
      <w:jc w:val="both"/>
    </w:pPr>
    <w:rPr>
      <w:rFonts w:eastAsia="Times New Roman"/>
      <w:color w:val="000000"/>
      <w:sz w:val="24"/>
      <w:szCs w:val="24"/>
      <w:lang w:val="en-US"/>
    </w:rPr>
  </w:style>
  <w:style w:type="paragraph" w:customStyle="1" w:styleId="HExperimentalSection">
    <w:name w:val="HExperimental_Section"/>
    <w:pPr>
      <w:spacing w:before="460" w:after="230" w:line="230" w:lineRule="atLeast"/>
    </w:pPr>
    <w:rPr>
      <w:rFonts w:ascii="Arial" w:hAnsi="Arial" w:cs="Arial Unicode MS"/>
      <w:b/>
      <w:bCs/>
      <w:color w:val="000000"/>
      <w:sz w:val="22"/>
      <w:szCs w:val="22"/>
    </w:rPr>
  </w:style>
  <w:style w:type="paragraph" w:customStyle="1" w:styleId="ExperimentalSection">
    <w:name w:val="ExperimentalSection"/>
    <w:pPr>
      <w:spacing w:after="240" w:line="200" w:lineRule="exact"/>
      <w:jc w:val="both"/>
    </w:pPr>
    <w:rPr>
      <w:rFonts w:ascii="Arial" w:hAnsi="Arial" w:cs="Arial Unicode MS"/>
      <w:color w:val="000000"/>
      <w:sz w:val="15"/>
      <w:szCs w:val="15"/>
      <w:lang w:val="en-US"/>
    </w:rPr>
  </w:style>
  <w:style w:type="paragraph" w:customStyle="1" w:styleId="HAcknowledgements">
    <w:name w:val="HAcknowledgements"/>
    <w:pPr>
      <w:spacing w:before="480" w:after="230" w:line="230" w:lineRule="atLeast"/>
    </w:pPr>
    <w:rPr>
      <w:rFonts w:ascii="Arial" w:hAnsi="Arial" w:cs="Arial Unicode MS"/>
      <w:b/>
      <w:bCs/>
      <w:color w:val="000000"/>
      <w:sz w:val="22"/>
      <w:szCs w:val="22"/>
      <w:lang w:val="en-US"/>
    </w:rPr>
  </w:style>
  <w:style w:type="paragraph" w:customStyle="1" w:styleId="Acknowledgements">
    <w:name w:val="Acknowledgements"/>
    <w:pPr>
      <w:spacing w:after="240" w:line="230" w:lineRule="atLeast"/>
      <w:jc w:val="both"/>
    </w:pPr>
    <w:rPr>
      <w:rFonts w:ascii="Arial" w:hAnsi="Arial" w:cs="Arial Unicode MS"/>
      <w:color w:val="000000"/>
      <w:sz w:val="17"/>
      <w:szCs w:val="17"/>
    </w:rPr>
  </w:style>
  <w:style w:type="paragraph" w:customStyle="1" w:styleId="Keywords">
    <w:name w:val="Keywords"/>
    <w:pPr>
      <w:spacing w:before="240" w:after="240" w:line="250" w:lineRule="exact"/>
    </w:pPr>
    <w:rPr>
      <w:rFonts w:ascii="Arial" w:hAnsi="Arial" w:cs="Arial Unicode MS"/>
      <w:color w:val="000000"/>
      <w:sz w:val="17"/>
      <w:szCs w:val="17"/>
      <w:lang w:val="en-US"/>
    </w:rPr>
  </w:style>
  <w:style w:type="paragraph" w:styleId="Literaturverzeichnis">
    <w:name w:val="Bibliography"/>
    <w:next w:val="Standard"/>
    <w:pPr>
      <w:tabs>
        <w:tab w:val="left" w:pos="504"/>
      </w:tabs>
      <w:ind w:left="504" w:hanging="504"/>
    </w:pPr>
    <w:rPr>
      <w:rFonts w:cs="Arial Unicode MS"/>
      <w:color w:val="000000"/>
      <w:sz w:val="24"/>
      <w:szCs w:val="24"/>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TableOfContentText">
    <w:name w:val="TableOfContentText"/>
    <w:pPr>
      <w:spacing w:before="120" w:line="225" w:lineRule="atLeast"/>
    </w:pPr>
    <w:rPr>
      <w:rFonts w:ascii="Arial" w:eastAsia="Arial" w:hAnsi="Arial" w:cs="Arial"/>
      <w:color w:val="000000"/>
      <w:sz w:val="17"/>
      <w:szCs w:val="17"/>
      <w:lang w:val="en-US"/>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eastAsia="Times New Roman"/>
      <w:color w:val="00000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7A71A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A71A3"/>
    <w:rPr>
      <w:rFonts w:ascii="Segoe UI" w:eastAsia="Times New Roman" w:hAnsi="Segoe UI" w:cs="Segoe UI"/>
      <w:color w:val="000000"/>
      <w:sz w:val="18"/>
      <w:szCs w:val="18"/>
    </w:rPr>
  </w:style>
  <w:style w:type="character" w:styleId="Seitenzahl">
    <w:name w:val="page number"/>
    <w:uiPriority w:val="99"/>
    <w:rsid w:val="007A71A3"/>
    <w:rPr>
      <w:lang w:val="en-US"/>
    </w:rPr>
  </w:style>
  <w:style w:type="paragraph" w:styleId="Kommentarthema">
    <w:name w:val="annotation subject"/>
    <w:basedOn w:val="Kommentartext"/>
    <w:next w:val="Kommentartext"/>
    <w:link w:val="KommentarthemaZchn"/>
    <w:uiPriority w:val="99"/>
    <w:semiHidden/>
    <w:unhideWhenUsed/>
    <w:rsid w:val="001A6EA1"/>
    <w:rPr>
      <w:b/>
      <w:bCs/>
    </w:rPr>
  </w:style>
  <w:style w:type="character" w:customStyle="1" w:styleId="KommentarthemaZchn">
    <w:name w:val="Kommentarthema Zchn"/>
    <w:basedOn w:val="KommentartextZchn"/>
    <w:link w:val="Kommentarthema"/>
    <w:uiPriority w:val="99"/>
    <w:semiHidden/>
    <w:rsid w:val="001A6EA1"/>
    <w:rPr>
      <w:rFonts w:eastAsia="Times New Roman"/>
      <w:b/>
      <w:bCs/>
      <w:color w:val="000000"/>
    </w:rPr>
  </w:style>
  <w:style w:type="paragraph" w:styleId="StandardWeb">
    <w:name w:val="Normal (Web)"/>
    <w:basedOn w:val="Standard"/>
    <w:uiPriority w:val="99"/>
    <w:semiHidden/>
    <w:unhideWhenUsed/>
    <w:rsid w:val="001A6EA1"/>
    <w:rPr>
      <w:rFonts w:ascii="Calibri" w:eastAsiaTheme="minorHAnsi" w:hAnsi="Calibri" w:cs="Calibri"/>
      <w:color w:val="auto"/>
      <w:sz w:val="22"/>
      <w:szCs w:val="22"/>
    </w:rPr>
  </w:style>
  <w:style w:type="paragraph" w:customStyle="1" w:styleId="p10">
    <w:name w:val="p1"/>
    <w:basedOn w:val="Standard"/>
    <w:uiPriority w:val="99"/>
    <w:semiHidden/>
    <w:rsid w:val="001A6EA1"/>
    <w:rPr>
      <w:rFonts w:ascii="Calibri" w:eastAsiaTheme="minorHAnsi" w:hAnsi="Calibri" w:cs="Calibri"/>
      <w:color w:val="auto"/>
      <w:sz w:val="22"/>
      <w:szCs w:val="22"/>
    </w:rPr>
  </w:style>
  <w:style w:type="paragraph" w:customStyle="1" w:styleId="p2">
    <w:name w:val="p2"/>
    <w:basedOn w:val="Standard"/>
    <w:uiPriority w:val="99"/>
    <w:semiHidden/>
    <w:rsid w:val="001A6EA1"/>
    <w:rPr>
      <w:rFonts w:ascii="Calibri" w:eastAsiaTheme="minorHAnsi" w:hAnsi="Calibri" w:cs="Calibri"/>
      <w:color w:val="auto"/>
      <w:sz w:val="22"/>
      <w:szCs w:val="22"/>
    </w:rPr>
  </w:style>
  <w:style w:type="character" w:customStyle="1" w:styleId="s1">
    <w:name w:val="s1"/>
    <w:basedOn w:val="Absatz-Standardschriftart"/>
    <w:rsid w:val="001A6EA1"/>
  </w:style>
  <w:style w:type="character" w:customStyle="1" w:styleId="s2">
    <w:name w:val="s2"/>
    <w:basedOn w:val="Absatz-Standardschriftart"/>
    <w:rsid w:val="001A6EA1"/>
  </w:style>
  <w:style w:type="paragraph" w:styleId="berarbeitung">
    <w:name w:val="Revision"/>
    <w:hidden/>
    <w:uiPriority w:val="99"/>
    <w:semiHidden/>
    <w:rsid w:val="007A39B5"/>
    <w:rPr>
      <w:rFonts w:eastAsia="Times New Roman"/>
      <w:color w:val="000000"/>
      <w:sz w:val="24"/>
      <w:szCs w:val="24"/>
    </w:rPr>
  </w:style>
  <w:style w:type="character" w:customStyle="1" w:styleId="s3">
    <w:name w:val="s3"/>
    <w:basedOn w:val="Absatz-Standardschriftart"/>
    <w:rsid w:val="00200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981953">
      <w:bodyDiv w:val="1"/>
      <w:marLeft w:val="0"/>
      <w:marRight w:val="0"/>
      <w:marTop w:val="0"/>
      <w:marBottom w:val="0"/>
      <w:divBdr>
        <w:top w:val="none" w:sz="0" w:space="0" w:color="auto"/>
        <w:left w:val="none" w:sz="0" w:space="0" w:color="auto"/>
        <w:bottom w:val="none" w:sz="0" w:space="0" w:color="auto"/>
        <w:right w:val="none" w:sz="0" w:space="0" w:color="auto"/>
      </w:divBdr>
    </w:div>
    <w:div w:id="53392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50.png"/><Relationship Id="rId7" Type="http://schemas.openxmlformats.org/officeDocument/2006/relationships/footer" Target="footer1.xml"/><Relationship Id="rId25" Type="http://schemas.openxmlformats.org/officeDocument/2006/relationships/image" Target="media/image70.png"/><Relationship Id="rId2" Type="http://schemas.openxmlformats.org/officeDocument/2006/relationships/settings" Target="settings.xm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endnotes" Target="endnotes.xml"/><Relationship Id="rId23" Type="http://schemas.openxmlformats.org/officeDocument/2006/relationships/image" Target="media/image60.png"/><Relationship Id="rId28" Type="http://schemas.openxmlformats.org/officeDocument/2006/relationships/theme" Target="theme/theme1.xml"/><Relationship Id="rId19" Type="http://schemas.openxmlformats.org/officeDocument/2006/relationships/image" Target="media/image40.png"/><Relationship Id="rId4" Type="http://schemas.openxmlformats.org/officeDocument/2006/relationships/footnotes" Target="footnotes.xml"/><Relationship Id="rId9"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prstGeom prst="rect">
          <a:avLst/>
        </a:prstGeom>
        <a:solidFill>
          <a:srgbClr val="FFFFFF"/>
        </a:solidFill>
        <a:ln w="12700" cap="flat">
          <a:solidFill>
            <a:schemeClr val="accent1"/>
          </a:solidFill>
          <a:prstDash val="solid"/>
          <a:miter lim="800000"/>
        </a:ln>
      </a:spPr>
      <a:bodyPr/>
      <a:lstStyle/>
      <a:style>
        <a:lnRef idx="0">
          <a:scrgbClr r="0" g="0" b="0"/>
        </a:lnRef>
        <a:fillRef idx="0">
          <a:scrgbClr r="0" g="0" b="0"/>
        </a:fillRef>
        <a:effectRef idx="0">
          <a:scrgbClr r="0" g="0" b="0"/>
        </a:effectRef>
        <a:fontRef idx="none"/>
      </a:style>
    </a:spDef>
    <a:lnDef>
      <a:spPr bwMode="auto">
        <a:prstGeom prst="rect">
          <a:avLst/>
        </a:prstGeom>
        <a:noFill/>
        <a:ln w="12700" cap="flat">
          <a:solidFill>
            <a:schemeClr val="accent1"/>
          </a:solidFill>
          <a:prstDash val="solid"/>
          <a:miter lim="800000"/>
        </a:ln>
      </a:spPr>
      <a:bodyPr/>
      <a:lstStyle/>
      <a:style>
        <a:lnRef idx="0">
          <a:scrgbClr r="0" g="0" b="0"/>
        </a:lnRef>
        <a:fillRef idx="0">
          <a:scrgbClr r="0" g="0" b="0"/>
        </a:fillRef>
        <a:effectRef idx="0">
          <a:scrgbClr r="0" g="0" b="0"/>
        </a:effectRef>
        <a:fontRef idx="none"/>
      </a:style>
    </a:lnDef>
    <a:txDef>
      <a:spPr bwMode="auto">
        <a:prstGeom prst="rect">
          <a:avLst/>
        </a:prstGeom>
        <a:noFill/>
        <a:ln w="12700" cap="flat">
          <a:noFill/>
          <a:miter lim="400000"/>
        </a:ln>
      </a:spPr>
      <a:body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15402</Words>
  <Characters>97034</Characters>
  <Application>Microsoft Office Word</Application>
  <DocSecurity>0</DocSecurity>
  <Lines>808</Lines>
  <Paragraphs>224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HIMS User</dc:creator>
  <cp:lastModifiedBy>Cekic-Laskovic, Isidora</cp:lastModifiedBy>
  <cp:revision>2</cp:revision>
  <dcterms:created xsi:type="dcterms:W3CDTF">2023-12-15T13:13:00Z</dcterms:created>
  <dcterms:modified xsi:type="dcterms:W3CDTF">2023-12-15T13:13:00Z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id="BH6x75s2"/&gt;&lt;style id="http://www.zotero.org/styles/angewandte-chemie"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